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844" w:rsidRPr="00730844" w:rsidRDefault="00730844" w:rsidP="00730844">
      <w:pPr>
        <w:spacing w:after="0" w:line="240" w:lineRule="auto"/>
        <w:rPr>
          <w:rFonts w:cs="Arial"/>
          <w:lang w:val="en-US"/>
        </w:rPr>
      </w:pPr>
      <w:r w:rsidRPr="00730844">
        <w:rPr>
          <w:rFonts w:cs="Arial"/>
          <w:lang w:val="en-US"/>
        </w:rPr>
        <w:t>Publish What You Pay</w:t>
      </w:r>
    </w:p>
    <w:p w:rsidR="00730844" w:rsidRPr="00730844" w:rsidRDefault="00730844" w:rsidP="00730844">
      <w:pPr>
        <w:spacing w:after="0" w:line="240" w:lineRule="auto"/>
        <w:rPr>
          <w:rFonts w:cs="Arial"/>
          <w:lang w:val="en-US"/>
        </w:rPr>
      </w:pPr>
      <w:proofErr w:type="gramStart"/>
      <w:r w:rsidRPr="00730844">
        <w:rPr>
          <w:rFonts w:cs="Arial"/>
          <w:lang w:val="en-US"/>
        </w:rPr>
        <w:t>c/o</w:t>
      </w:r>
      <w:proofErr w:type="gramEnd"/>
      <w:r w:rsidRPr="00730844">
        <w:rPr>
          <w:rFonts w:cs="Arial"/>
          <w:lang w:val="en-US"/>
        </w:rPr>
        <w:t xml:space="preserve"> Open Society Foundation</w:t>
      </w:r>
    </w:p>
    <w:p w:rsidR="00730844" w:rsidRPr="00730844" w:rsidRDefault="00730844" w:rsidP="00730844">
      <w:pPr>
        <w:spacing w:after="0" w:line="240" w:lineRule="auto"/>
        <w:rPr>
          <w:rFonts w:cs="Arial"/>
          <w:lang w:val="en-US"/>
        </w:rPr>
      </w:pPr>
      <w:r w:rsidRPr="00730844">
        <w:rPr>
          <w:rFonts w:cs="Arial"/>
          <w:lang w:val="en-US"/>
        </w:rPr>
        <w:t xml:space="preserve">7th Floor </w:t>
      </w:r>
      <w:proofErr w:type="spellStart"/>
      <w:r w:rsidRPr="00730844">
        <w:rPr>
          <w:rFonts w:cs="Arial"/>
          <w:lang w:val="en-US"/>
        </w:rPr>
        <w:t>Millbank</w:t>
      </w:r>
      <w:proofErr w:type="spellEnd"/>
      <w:r w:rsidRPr="00730844">
        <w:rPr>
          <w:rFonts w:cs="Arial"/>
          <w:lang w:val="en-US"/>
        </w:rPr>
        <w:t xml:space="preserve"> Tower,</w:t>
      </w:r>
    </w:p>
    <w:p w:rsidR="00730844" w:rsidRPr="00730844" w:rsidRDefault="00730844" w:rsidP="00730844">
      <w:pPr>
        <w:spacing w:after="0" w:line="240" w:lineRule="auto"/>
        <w:rPr>
          <w:rFonts w:cs="Arial"/>
          <w:lang w:val="en-US"/>
        </w:rPr>
      </w:pPr>
      <w:r w:rsidRPr="00730844">
        <w:rPr>
          <w:rFonts w:cs="Arial"/>
          <w:lang w:val="en-US"/>
        </w:rPr>
        <w:t xml:space="preserve">21-24 </w:t>
      </w:r>
      <w:proofErr w:type="spellStart"/>
      <w:r w:rsidRPr="00730844">
        <w:rPr>
          <w:rFonts w:cs="Arial"/>
          <w:lang w:val="en-US"/>
        </w:rPr>
        <w:t>Millbank</w:t>
      </w:r>
      <w:proofErr w:type="spellEnd"/>
      <w:r w:rsidRPr="00730844">
        <w:rPr>
          <w:rFonts w:cs="Arial"/>
          <w:lang w:val="en-US"/>
        </w:rPr>
        <w:t>,</w:t>
      </w:r>
    </w:p>
    <w:p w:rsidR="00730844" w:rsidRDefault="00730844" w:rsidP="00730844">
      <w:pPr>
        <w:spacing w:after="0" w:line="240" w:lineRule="auto"/>
        <w:rPr>
          <w:rFonts w:cs="Arial"/>
          <w:lang w:val="en-US"/>
        </w:rPr>
      </w:pPr>
      <w:r w:rsidRPr="00730844">
        <w:rPr>
          <w:rFonts w:cs="Arial"/>
          <w:lang w:val="en-US"/>
        </w:rPr>
        <w:t>London SW1P 4QP</w:t>
      </w:r>
    </w:p>
    <w:p w:rsidR="00E26685" w:rsidRDefault="00E26685" w:rsidP="00730844">
      <w:pPr>
        <w:spacing w:after="0" w:line="240" w:lineRule="auto"/>
        <w:rPr>
          <w:rFonts w:cs="Arial"/>
          <w:lang w:val="en-US"/>
        </w:rPr>
      </w:pPr>
    </w:p>
    <w:p w:rsidR="00E26685" w:rsidRPr="00E26685" w:rsidRDefault="00E26685" w:rsidP="00E26685">
      <w:pPr>
        <w:spacing w:after="0" w:line="240" w:lineRule="auto"/>
        <w:jc w:val="right"/>
        <w:rPr>
          <w:rFonts w:cs="Arial"/>
          <w:lang w:val="en-US"/>
        </w:rPr>
      </w:pPr>
      <w:r w:rsidRPr="00E26685">
        <w:rPr>
          <w:rFonts w:cs="Arial"/>
          <w:lang w:val="en-US"/>
        </w:rPr>
        <w:t xml:space="preserve">Open Government Partnership </w:t>
      </w:r>
    </w:p>
    <w:p w:rsidR="00E26685" w:rsidRPr="00E26685" w:rsidRDefault="00E26685" w:rsidP="00E26685">
      <w:pPr>
        <w:spacing w:after="0" w:line="240" w:lineRule="auto"/>
        <w:jc w:val="right"/>
        <w:rPr>
          <w:rFonts w:cs="Arial"/>
          <w:lang w:val="en-US"/>
        </w:rPr>
      </w:pPr>
      <w:r w:rsidRPr="00E26685">
        <w:rPr>
          <w:rFonts w:cs="Arial"/>
          <w:lang w:val="en-US"/>
        </w:rPr>
        <w:t xml:space="preserve">1110 Vermont Avenue NW </w:t>
      </w:r>
    </w:p>
    <w:p w:rsidR="00E26685" w:rsidRPr="00E26685" w:rsidRDefault="00E26685" w:rsidP="00E26685">
      <w:pPr>
        <w:spacing w:after="0" w:line="240" w:lineRule="auto"/>
        <w:jc w:val="right"/>
        <w:rPr>
          <w:rFonts w:cs="Arial"/>
          <w:lang w:val="en-US"/>
        </w:rPr>
      </w:pPr>
      <w:r w:rsidRPr="00E26685">
        <w:rPr>
          <w:rFonts w:cs="Arial"/>
          <w:lang w:val="en-US"/>
        </w:rPr>
        <w:t xml:space="preserve">Suite 500/ Open </w:t>
      </w:r>
      <w:proofErr w:type="spellStart"/>
      <w:r w:rsidRPr="00E26685">
        <w:rPr>
          <w:rFonts w:cs="Arial"/>
          <w:lang w:val="en-US"/>
        </w:rPr>
        <w:t>Gov</w:t>
      </w:r>
      <w:proofErr w:type="spellEnd"/>
      <w:r w:rsidRPr="00E26685">
        <w:rPr>
          <w:rFonts w:cs="Arial"/>
          <w:lang w:val="en-US"/>
        </w:rPr>
        <w:t xml:space="preserve"> Hub </w:t>
      </w:r>
    </w:p>
    <w:p w:rsidR="00E26685" w:rsidRPr="00E26685" w:rsidRDefault="00E26685" w:rsidP="00E26685">
      <w:pPr>
        <w:spacing w:after="0" w:line="240" w:lineRule="auto"/>
        <w:jc w:val="right"/>
        <w:rPr>
          <w:rFonts w:cs="Arial"/>
          <w:lang w:val="en-US"/>
        </w:rPr>
      </w:pPr>
      <w:r w:rsidRPr="00E26685">
        <w:rPr>
          <w:rFonts w:cs="Arial"/>
          <w:lang w:val="en-US"/>
        </w:rPr>
        <w:t xml:space="preserve">Washington, DC 20005 </w:t>
      </w:r>
    </w:p>
    <w:p w:rsidR="00E26685" w:rsidRPr="00E26685" w:rsidRDefault="00E26685" w:rsidP="00E26685">
      <w:pPr>
        <w:spacing w:after="0" w:line="240" w:lineRule="auto"/>
        <w:jc w:val="right"/>
        <w:rPr>
          <w:rFonts w:cs="Arial"/>
          <w:lang w:val="en-US"/>
        </w:rPr>
      </w:pPr>
      <w:r w:rsidRPr="00E26685">
        <w:rPr>
          <w:rFonts w:cs="Arial"/>
          <w:lang w:val="en-US"/>
        </w:rPr>
        <w:t xml:space="preserve">United States </w:t>
      </w:r>
    </w:p>
    <w:p w:rsidR="00A3399E" w:rsidRDefault="00A3399E" w:rsidP="00A3399E">
      <w:pPr>
        <w:spacing w:after="0" w:line="240" w:lineRule="auto"/>
        <w:jc w:val="both"/>
        <w:rPr>
          <w:rFonts w:cs="Arial"/>
          <w:lang w:val="en-US"/>
        </w:rPr>
      </w:pPr>
    </w:p>
    <w:p w:rsidR="00730844" w:rsidRPr="006710FB" w:rsidRDefault="00730844" w:rsidP="00730844">
      <w:pPr>
        <w:spacing w:after="0" w:line="240" w:lineRule="auto"/>
        <w:jc w:val="right"/>
        <w:rPr>
          <w:rFonts w:cs="Arial"/>
          <w:lang w:val="en-US"/>
        </w:rPr>
      </w:pPr>
      <w:r>
        <w:rPr>
          <w:rFonts w:cs="Arial"/>
          <w:lang w:val="en-US"/>
        </w:rPr>
        <w:t>2 March 2015</w:t>
      </w:r>
    </w:p>
    <w:p w:rsidR="004869D5" w:rsidRPr="006710FB" w:rsidRDefault="004869D5" w:rsidP="00A3399E">
      <w:pPr>
        <w:spacing w:after="0" w:line="240" w:lineRule="auto"/>
        <w:jc w:val="both"/>
        <w:rPr>
          <w:rFonts w:cs="Arial"/>
          <w:lang w:val="en-US"/>
        </w:rPr>
      </w:pPr>
    </w:p>
    <w:p w:rsidR="003669CC" w:rsidRDefault="003669CC" w:rsidP="00A3399E">
      <w:pPr>
        <w:spacing w:after="0" w:line="240" w:lineRule="auto"/>
        <w:jc w:val="both"/>
        <w:rPr>
          <w:rFonts w:cs="Arial"/>
          <w:lang w:val="en-US"/>
        </w:rPr>
      </w:pPr>
      <w:r w:rsidRPr="006710FB">
        <w:rPr>
          <w:rFonts w:cs="Arial"/>
          <w:lang w:val="en-US"/>
        </w:rPr>
        <w:t xml:space="preserve">Dear Members of the OGP Steering Committee, </w:t>
      </w:r>
    </w:p>
    <w:p w:rsidR="00730844" w:rsidRPr="006710FB" w:rsidRDefault="00730844" w:rsidP="00A3399E">
      <w:pPr>
        <w:spacing w:after="0" w:line="240" w:lineRule="auto"/>
        <w:jc w:val="both"/>
        <w:rPr>
          <w:rFonts w:cs="Arial"/>
          <w:lang w:val="en-US"/>
        </w:rPr>
      </w:pPr>
    </w:p>
    <w:p w:rsidR="00A3399E" w:rsidRPr="00730844" w:rsidRDefault="00730844" w:rsidP="00A3399E">
      <w:pPr>
        <w:spacing w:after="0" w:line="240" w:lineRule="auto"/>
        <w:jc w:val="both"/>
        <w:rPr>
          <w:rFonts w:cs="Arial"/>
          <w:b/>
          <w:lang w:val="en-US"/>
        </w:rPr>
      </w:pPr>
      <w:r w:rsidRPr="00730844">
        <w:rPr>
          <w:rFonts w:cs="Arial"/>
          <w:b/>
          <w:lang w:val="en-US"/>
        </w:rPr>
        <w:t>Letter of Concern</w:t>
      </w:r>
    </w:p>
    <w:p w:rsidR="00730844" w:rsidRPr="006710FB" w:rsidRDefault="00730844" w:rsidP="00A3399E">
      <w:pPr>
        <w:spacing w:after="0" w:line="240" w:lineRule="auto"/>
        <w:jc w:val="both"/>
        <w:rPr>
          <w:rFonts w:cs="Arial"/>
          <w:lang w:val="en-US"/>
        </w:rPr>
      </w:pPr>
    </w:p>
    <w:p w:rsidR="00ED78DF" w:rsidRPr="006710FB" w:rsidRDefault="00772B3E" w:rsidP="00A3399E">
      <w:pPr>
        <w:spacing w:after="0" w:line="240" w:lineRule="auto"/>
        <w:jc w:val="both"/>
        <w:rPr>
          <w:rFonts w:cs="Arial"/>
          <w:lang w:val="en-US"/>
        </w:rPr>
      </w:pPr>
      <w:r w:rsidRPr="006710FB">
        <w:rPr>
          <w:rFonts w:cs="Arial"/>
          <w:lang w:val="en-US"/>
        </w:rPr>
        <w:t xml:space="preserve">We </w:t>
      </w:r>
      <w:r w:rsidR="00A3399E" w:rsidRPr="006710FB">
        <w:rPr>
          <w:rFonts w:cs="Arial"/>
          <w:lang w:val="en-US"/>
        </w:rPr>
        <w:t>are writing</w:t>
      </w:r>
      <w:r w:rsidR="00ED78DF" w:rsidRPr="006710FB">
        <w:rPr>
          <w:rFonts w:cs="Arial"/>
          <w:lang w:val="en-US"/>
        </w:rPr>
        <w:t xml:space="preserve"> to you as civil society organiz</w:t>
      </w:r>
      <w:r w:rsidR="00C62F01" w:rsidRPr="006710FB">
        <w:rPr>
          <w:rFonts w:cs="Arial"/>
          <w:lang w:val="en-US"/>
        </w:rPr>
        <w:t>ations which</w:t>
      </w:r>
      <w:r w:rsidR="00A3399E" w:rsidRPr="006710FB">
        <w:rPr>
          <w:rFonts w:cs="Arial"/>
          <w:lang w:val="en-US"/>
        </w:rPr>
        <w:t xml:space="preserve"> active</w:t>
      </w:r>
      <w:r w:rsidR="00173EA1" w:rsidRPr="006710FB">
        <w:rPr>
          <w:rFonts w:cs="Arial"/>
          <w:lang w:val="en-US"/>
        </w:rPr>
        <w:t>ly monitor the situation</w:t>
      </w:r>
      <w:r w:rsidR="00A3399E" w:rsidRPr="006710FB">
        <w:rPr>
          <w:rFonts w:cs="Arial"/>
          <w:lang w:val="en-US"/>
        </w:rPr>
        <w:t xml:space="preserve"> in Azerbaijan to ask you to </w:t>
      </w:r>
      <w:r w:rsidR="009D4D45" w:rsidRPr="006710FB">
        <w:rPr>
          <w:rFonts w:cs="Arial"/>
          <w:lang w:val="en-US"/>
        </w:rPr>
        <w:t>take</w:t>
      </w:r>
      <w:r w:rsidR="00A3399E" w:rsidRPr="006710FB">
        <w:rPr>
          <w:rFonts w:cs="Arial"/>
          <w:lang w:val="en-US"/>
        </w:rPr>
        <w:t xml:space="preserve"> action in relation to Azerbaijan under the </w:t>
      </w:r>
      <w:r w:rsidR="00A3399E" w:rsidRPr="006710FB">
        <w:rPr>
          <w:rFonts w:cs="Arial"/>
          <w:i/>
          <w:lang w:val="en-US"/>
        </w:rPr>
        <w:t>Policy on Upholding the Values and Principles of OGP, as articulated in the Open Government Declaration</w:t>
      </w:r>
      <w:r w:rsidR="00A3399E" w:rsidRPr="006710FB">
        <w:rPr>
          <w:rFonts w:cs="Arial"/>
          <w:lang w:val="en-US"/>
        </w:rPr>
        <w:t xml:space="preserve"> (</w:t>
      </w:r>
      <w:r w:rsidR="00E818DE" w:rsidRPr="006710FB">
        <w:rPr>
          <w:rFonts w:cs="Arial"/>
          <w:lang w:val="en-US"/>
        </w:rPr>
        <w:t xml:space="preserve">OGP </w:t>
      </w:r>
      <w:r w:rsidR="00A3399E" w:rsidRPr="006710FB">
        <w:rPr>
          <w:rFonts w:cs="Arial"/>
          <w:lang w:val="en-US"/>
        </w:rPr>
        <w:t>response policy), which you adopted on 25 September 2014. The aim</w:t>
      </w:r>
      <w:r w:rsidR="001A0353" w:rsidRPr="006710FB">
        <w:rPr>
          <w:rFonts w:cs="Arial"/>
          <w:lang w:val="en-US"/>
        </w:rPr>
        <w:t>s</w:t>
      </w:r>
      <w:r w:rsidR="00A3399E" w:rsidRPr="006710FB">
        <w:rPr>
          <w:rFonts w:cs="Arial"/>
          <w:lang w:val="en-US"/>
        </w:rPr>
        <w:t xml:space="preserve"> of the </w:t>
      </w:r>
      <w:r w:rsidR="00E818DE" w:rsidRPr="006710FB">
        <w:rPr>
          <w:rFonts w:cs="Arial"/>
          <w:lang w:val="en-US"/>
        </w:rPr>
        <w:t xml:space="preserve">OGP </w:t>
      </w:r>
      <w:r w:rsidR="00A3399E" w:rsidRPr="006710FB">
        <w:rPr>
          <w:rFonts w:cs="Arial"/>
          <w:lang w:val="en-US"/>
        </w:rPr>
        <w:t xml:space="preserve">response policy </w:t>
      </w:r>
      <w:r w:rsidR="001A0353" w:rsidRPr="006710FB">
        <w:rPr>
          <w:rFonts w:cs="Arial"/>
          <w:lang w:val="en-US"/>
        </w:rPr>
        <w:t xml:space="preserve">are </w:t>
      </w:r>
      <w:r w:rsidR="00A3399E" w:rsidRPr="006710FB">
        <w:rPr>
          <w:rFonts w:cs="Arial"/>
          <w:lang w:val="en-US"/>
        </w:rPr>
        <w:t>“to help re-establish an environment for government and civil society collaboration” and to “[s]</w:t>
      </w:r>
      <w:proofErr w:type="spellStart"/>
      <w:r w:rsidR="00A3399E" w:rsidRPr="006710FB">
        <w:rPr>
          <w:rFonts w:cs="Arial"/>
          <w:lang w:val="en-US"/>
        </w:rPr>
        <w:t>afeguard</w:t>
      </w:r>
      <w:proofErr w:type="spellEnd"/>
      <w:r w:rsidR="00A3399E" w:rsidRPr="006710FB">
        <w:rPr>
          <w:rFonts w:cs="Arial"/>
          <w:lang w:val="en-US"/>
        </w:rPr>
        <w:t xml:space="preserve"> the Open Government Declaration and mitigate reputational risks to OGP</w:t>
      </w:r>
      <w:r w:rsidR="00ED78DF" w:rsidRPr="006710FB">
        <w:rPr>
          <w:rFonts w:cs="Arial"/>
          <w:lang w:val="en-US"/>
        </w:rPr>
        <w:t>”. We believe that the situation in Azerbaijan engages both of these aims.</w:t>
      </w:r>
    </w:p>
    <w:p w:rsidR="00ED78DF" w:rsidRPr="006710FB" w:rsidRDefault="00ED78DF" w:rsidP="00A3399E">
      <w:pPr>
        <w:spacing w:after="0" w:line="240" w:lineRule="auto"/>
        <w:jc w:val="both"/>
        <w:rPr>
          <w:rFonts w:cs="Arial"/>
          <w:lang w:val="en-US"/>
        </w:rPr>
      </w:pPr>
    </w:p>
    <w:p w:rsidR="00EC3031" w:rsidRPr="006710FB" w:rsidRDefault="00ED78DF" w:rsidP="00A3399E">
      <w:pPr>
        <w:spacing w:after="0" w:line="240" w:lineRule="auto"/>
        <w:jc w:val="both"/>
        <w:rPr>
          <w:rFonts w:cs="Arial"/>
          <w:lang w:val="en-US"/>
        </w:rPr>
      </w:pPr>
      <w:r w:rsidRPr="006710FB">
        <w:rPr>
          <w:rFonts w:cs="Arial"/>
          <w:lang w:val="en-US"/>
        </w:rPr>
        <w:t xml:space="preserve">Over the last few years, the climate for civil society in Azerbaijan has </w:t>
      </w:r>
      <w:r w:rsidR="00E818DE" w:rsidRPr="006710FB">
        <w:rPr>
          <w:rFonts w:cs="Arial"/>
          <w:lang w:val="en-US"/>
        </w:rPr>
        <w:t xml:space="preserve">deteriorated </w:t>
      </w:r>
      <w:r w:rsidRPr="006710FB">
        <w:rPr>
          <w:rFonts w:cs="Arial"/>
          <w:lang w:val="en-US"/>
        </w:rPr>
        <w:t xml:space="preserve">to the point where it seriously threatens the ability of civil society organizations (CSOs) to engage </w:t>
      </w:r>
      <w:r w:rsidR="00B10FCA" w:rsidRPr="006710FB">
        <w:rPr>
          <w:rFonts w:cs="Arial"/>
          <w:lang w:val="en-US"/>
        </w:rPr>
        <w:t xml:space="preserve">effectively </w:t>
      </w:r>
      <w:r w:rsidR="001A0353" w:rsidRPr="006710FB">
        <w:rPr>
          <w:rFonts w:cs="Arial"/>
          <w:lang w:val="en-US"/>
        </w:rPr>
        <w:t>in the OGP process</w:t>
      </w:r>
      <w:r w:rsidRPr="006710FB">
        <w:rPr>
          <w:rFonts w:cs="Arial"/>
          <w:lang w:val="en-US"/>
        </w:rPr>
        <w:t>. The situation thus raises important concerns about the Azeri government’s commitment to the values and principles expressed in the Open Government Declaration, which it endorsed in 2011 when it joined the OGP.</w:t>
      </w:r>
      <w:r w:rsidR="00E818DE" w:rsidRPr="006710FB">
        <w:rPr>
          <w:rFonts w:cs="Arial"/>
          <w:lang w:val="en-US"/>
        </w:rPr>
        <w:t xml:space="preserve"> As you know, t</w:t>
      </w:r>
      <w:r w:rsidR="001A0353" w:rsidRPr="006710FB">
        <w:rPr>
          <w:rFonts w:cs="Arial"/>
          <w:lang w:val="en-US"/>
        </w:rPr>
        <w:t>hese include a commitment to “protecting the ability of not-for-profit and civil society organizations to operate in ways consistent with our commitment to freedom of expression, association, and opinion.”</w:t>
      </w:r>
      <w:r w:rsidR="00E818DE" w:rsidRPr="006710FB">
        <w:rPr>
          <w:rFonts w:cs="Arial"/>
          <w:lang w:val="en-US"/>
        </w:rPr>
        <w:t xml:space="preserve"> Unfortunately, the actions of the Azeri government </w:t>
      </w:r>
      <w:r w:rsidR="00B10FCA" w:rsidRPr="006710FB">
        <w:rPr>
          <w:rFonts w:cs="Arial"/>
          <w:lang w:val="en-US"/>
        </w:rPr>
        <w:t xml:space="preserve">have </w:t>
      </w:r>
      <w:r w:rsidR="00E818DE" w:rsidRPr="006710FB">
        <w:rPr>
          <w:rFonts w:cs="Arial"/>
          <w:lang w:val="en-US"/>
        </w:rPr>
        <w:t>signally fail</w:t>
      </w:r>
      <w:r w:rsidR="00B10FCA" w:rsidRPr="006710FB">
        <w:rPr>
          <w:rFonts w:cs="Arial"/>
          <w:lang w:val="en-US"/>
        </w:rPr>
        <w:t>ed</w:t>
      </w:r>
      <w:r w:rsidR="00E818DE" w:rsidRPr="006710FB">
        <w:rPr>
          <w:rFonts w:cs="Arial"/>
          <w:lang w:val="en-US"/>
        </w:rPr>
        <w:t xml:space="preserve"> to translate this commitment into practice. </w:t>
      </w:r>
    </w:p>
    <w:p w:rsidR="00EC3031" w:rsidRPr="006710FB" w:rsidRDefault="00EC3031" w:rsidP="00A3399E">
      <w:pPr>
        <w:spacing w:after="0" w:line="240" w:lineRule="auto"/>
        <w:jc w:val="both"/>
        <w:rPr>
          <w:rFonts w:cs="Arial"/>
          <w:lang w:val="en-US"/>
        </w:rPr>
      </w:pPr>
    </w:p>
    <w:p w:rsidR="002A134A" w:rsidRPr="006710FB" w:rsidRDefault="00E818DE" w:rsidP="00C62F01">
      <w:pPr>
        <w:spacing w:after="0" w:line="240" w:lineRule="auto"/>
        <w:jc w:val="both"/>
        <w:rPr>
          <w:rFonts w:cs="Arial"/>
          <w:lang w:val="en-US"/>
        </w:rPr>
      </w:pPr>
      <w:r w:rsidRPr="006710FB">
        <w:rPr>
          <w:rFonts w:cs="Arial"/>
          <w:lang w:val="en-US"/>
        </w:rPr>
        <w:t>P</w:t>
      </w:r>
      <w:r w:rsidR="00ED78DF" w:rsidRPr="006710FB">
        <w:rPr>
          <w:rFonts w:cs="Arial"/>
          <w:lang w:val="en-US"/>
        </w:rPr>
        <w:t xml:space="preserve">roblems </w:t>
      </w:r>
      <w:r w:rsidR="00EC3031" w:rsidRPr="006710FB">
        <w:rPr>
          <w:rFonts w:cs="Arial"/>
          <w:lang w:val="en-US"/>
        </w:rPr>
        <w:t xml:space="preserve">have been documented for some time, but </w:t>
      </w:r>
      <w:r w:rsidR="00ED78DF" w:rsidRPr="006710FB">
        <w:rPr>
          <w:rFonts w:cs="Arial"/>
          <w:lang w:val="en-US"/>
        </w:rPr>
        <w:t xml:space="preserve">have become particularly acute </w:t>
      </w:r>
      <w:r w:rsidR="00D34A28" w:rsidRPr="006710FB">
        <w:rPr>
          <w:rFonts w:cs="Arial"/>
          <w:lang w:val="en-US"/>
        </w:rPr>
        <w:t xml:space="preserve">since February 2014, when new amendments to </w:t>
      </w:r>
      <w:r w:rsidR="00ED78DF" w:rsidRPr="006710FB">
        <w:rPr>
          <w:rFonts w:cs="Arial"/>
          <w:lang w:val="en-US"/>
        </w:rPr>
        <w:t xml:space="preserve">a number of pieces of legislation </w:t>
      </w:r>
      <w:r w:rsidR="00EC3031" w:rsidRPr="006710FB">
        <w:rPr>
          <w:rFonts w:cs="Arial"/>
          <w:lang w:val="en-US"/>
        </w:rPr>
        <w:t>which</w:t>
      </w:r>
      <w:r w:rsidR="00ED78DF" w:rsidRPr="006710FB">
        <w:rPr>
          <w:rFonts w:cs="Arial"/>
          <w:lang w:val="en-US"/>
        </w:rPr>
        <w:t xml:space="preserve"> regulate</w:t>
      </w:r>
      <w:r w:rsidR="004869D5" w:rsidRPr="006710FB">
        <w:rPr>
          <w:rFonts w:cs="Arial"/>
          <w:lang w:val="en-US"/>
        </w:rPr>
        <w:t xml:space="preserve"> civil society activities in Azerbaijan came into force</w:t>
      </w:r>
      <w:r w:rsidR="005B055C" w:rsidRPr="006710FB">
        <w:rPr>
          <w:rFonts w:cs="Arial"/>
          <w:lang w:val="en-US"/>
        </w:rPr>
        <w:t xml:space="preserve"> and when the government instituted what can only be described as a crackdown on independent </w:t>
      </w:r>
      <w:r w:rsidR="00CF036E" w:rsidRPr="006710FB">
        <w:rPr>
          <w:rFonts w:cs="Arial"/>
          <w:lang w:val="en-US"/>
        </w:rPr>
        <w:t>non-governmental organizations (NGOs)</w:t>
      </w:r>
      <w:r w:rsidR="005B055C" w:rsidRPr="006710FB">
        <w:rPr>
          <w:rFonts w:cs="Arial"/>
          <w:lang w:val="en-US"/>
        </w:rPr>
        <w:t>, especially those which dared to be critical of the authorities</w:t>
      </w:r>
      <w:r w:rsidR="00ED78DF" w:rsidRPr="006710FB">
        <w:rPr>
          <w:rFonts w:cs="Arial"/>
          <w:lang w:val="en-US"/>
        </w:rPr>
        <w:t>.</w:t>
      </w:r>
      <w:r w:rsidR="005B055C" w:rsidRPr="006710FB">
        <w:rPr>
          <w:rFonts w:cs="Arial"/>
          <w:lang w:val="en-US"/>
        </w:rPr>
        <w:t xml:space="preserve"> This has been wide ranging in nature, but it has particularly targeted groups which promote government transparency and accountability. This includes members of the NGO Coalition for “Increasing Transparency in Extractive Industries” (EITI </w:t>
      </w:r>
      <w:r w:rsidRPr="006710FB">
        <w:rPr>
          <w:rFonts w:cs="Arial"/>
          <w:lang w:val="en-US"/>
        </w:rPr>
        <w:t xml:space="preserve">NGO </w:t>
      </w:r>
      <w:r w:rsidR="005B055C" w:rsidRPr="006710FB">
        <w:rPr>
          <w:rFonts w:cs="Arial"/>
          <w:lang w:val="en-US"/>
        </w:rPr>
        <w:t xml:space="preserve">Coalition), many of which are the same groups </w:t>
      </w:r>
      <w:r w:rsidR="00B10FCA" w:rsidRPr="006710FB">
        <w:rPr>
          <w:rFonts w:cs="Arial"/>
          <w:lang w:val="en-US"/>
        </w:rPr>
        <w:t>which have been</w:t>
      </w:r>
      <w:r w:rsidR="005B055C" w:rsidRPr="006710FB">
        <w:rPr>
          <w:rFonts w:cs="Arial"/>
          <w:lang w:val="en-US"/>
        </w:rPr>
        <w:t xml:space="preserve"> engaged in the OGP process</w:t>
      </w:r>
      <w:r w:rsidR="002A134A" w:rsidRPr="006710FB">
        <w:rPr>
          <w:rFonts w:cs="Arial"/>
          <w:lang w:val="en-US"/>
        </w:rPr>
        <w:t xml:space="preserve"> in the country.</w:t>
      </w:r>
    </w:p>
    <w:p w:rsidR="005B055C" w:rsidRPr="006710FB" w:rsidRDefault="005B055C" w:rsidP="00C62F01">
      <w:pPr>
        <w:spacing w:after="0" w:line="240" w:lineRule="auto"/>
        <w:jc w:val="both"/>
        <w:rPr>
          <w:rFonts w:cs="Arial"/>
          <w:lang w:val="en-US"/>
        </w:rPr>
      </w:pPr>
    </w:p>
    <w:p w:rsidR="00C62F01" w:rsidRPr="006710FB" w:rsidRDefault="00EC3031" w:rsidP="00C62F01">
      <w:pPr>
        <w:spacing w:after="0" w:line="240" w:lineRule="auto"/>
        <w:jc w:val="both"/>
        <w:rPr>
          <w:rFonts w:cs="Arial"/>
          <w:lang w:val="en-US"/>
        </w:rPr>
      </w:pPr>
      <w:r w:rsidRPr="006710FB">
        <w:rPr>
          <w:rFonts w:cs="Arial"/>
          <w:lang w:val="en-US"/>
        </w:rPr>
        <w:t xml:space="preserve">Together, the rules subject </w:t>
      </w:r>
      <w:r w:rsidR="00CF036E" w:rsidRPr="006710FB">
        <w:rPr>
          <w:rFonts w:cs="Arial"/>
          <w:lang w:val="en-US"/>
        </w:rPr>
        <w:t xml:space="preserve">NGOs </w:t>
      </w:r>
      <w:r w:rsidRPr="006710FB">
        <w:rPr>
          <w:rFonts w:cs="Arial"/>
          <w:lang w:val="en-US"/>
        </w:rPr>
        <w:t xml:space="preserve">to </w:t>
      </w:r>
      <w:r w:rsidR="00C62F01" w:rsidRPr="006710FB">
        <w:rPr>
          <w:rFonts w:cs="Arial"/>
          <w:lang w:val="en-US"/>
        </w:rPr>
        <w:t xml:space="preserve">extensive government control, </w:t>
      </w:r>
      <w:r w:rsidR="00B10FCA" w:rsidRPr="006710FB">
        <w:rPr>
          <w:rFonts w:cs="Arial"/>
          <w:lang w:val="en-US"/>
        </w:rPr>
        <w:t xml:space="preserve">contrary to guarantees of freedom of association, </w:t>
      </w:r>
      <w:r w:rsidR="00C62F01" w:rsidRPr="006710FB">
        <w:rPr>
          <w:rFonts w:cs="Arial"/>
          <w:lang w:val="en-US"/>
        </w:rPr>
        <w:t>including over their registration, governance</w:t>
      </w:r>
      <w:r w:rsidR="00412BCA" w:rsidRPr="006710FB">
        <w:rPr>
          <w:rFonts w:cs="Arial"/>
          <w:lang w:val="en-US"/>
        </w:rPr>
        <w:t>,</w:t>
      </w:r>
      <w:r w:rsidR="00C62F01" w:rsidRPr="006710FB">
        <w:rPr>
          <w:rFonts w:cs="Arial"/>
          <w:lang w:val="en-US"/>
        </w:rPr>
        <w:t xml:space="preserve"> receipt of funding</w:t>
      </w:r>
      <w:r w:rsidR="00412BCA" w:rsidRPr="006710FB">
        <w:rPr>
          <w:rFonts w:cs="Arial"/>
          <w:lang w:val="en-US"/>
        </w:rPr>
        <w:t xml:space="preserve"> (including blocking new funding)</w:t>
      </w:r>
      <w:r w:rsidR="00C62F01" w:rsidRPr="006710FB">
        <w:rPr>
          <w:rFonts w:cs="Arial"/>
          <w:lang w:val="en-US"/>
        </w:rPr>
        <w:t xml:space="preserve"> and banking operations</w:t>
      </w:r>
      <w:r w:rsidR="00412BCA" w:rsidRPr="006710FB">
        <w:rPr>
          <w:rFonts w:cs="Arial"/>
          <w:lang w:val="en-US"/>
        </w:rPr>
        <w:t xml:space="preserve"> (including freezing bank accounts)</w:t>
      </w:r>
      <w:r w:rsidR="00C62F01" w:rsidRPr="006710FB">
        <w:rPr>
          <w:rFonts w:cs="Arial"/>
          <w:lang w:val="en-US"/>
        </w:rPr>
        <w:t xml:space="preserve">. International NGOs </w:t>
      </w:r>
      <w:r w:rsidR="00CF036E" w:rsidRPr="006710FB">
        <w:rPr>
          <w:rFonts w:cs="Arial"/>
          <w:lang w:val="en-US"/>
        </w:rPr>
        <w:t xml:space="preserve">(INGOs) </w:t>
      </w:r>
      <w:r w:rsidR="00C62F01" w:rsidRPr="006710FB">
        <w:rPr>
          <w:rFonts w:cs="Arial"/>
          <w:lang w:val="en-US"/>
        </w:rPr>
        <w:t xml:space="preserve">have increasingly been subjected to </w:t>
      </w:r>
      <w:r w:rsidR="00E818DE" w:rsidRPr="006710FB">
        <w:rPr>
          <w:rFonts w:cs="Arial"/>
          <w:lang w:val="en-US"/>
        </w:rPr>
        <w:t>similar</w:t>
      </w:r>
      <w:r w:rsidR="00C62F01" w:rsidRPr="006710FB">
        <w:rPr>
          <w:rFonts w:cs="Arial"/>
          <w:lang w:val="en-US"/>
        </w:rPr>
        <w:t xml:space="preserve"> controls. The formal rules have been accompanied by various forms of harassment of NGOs, which range from a smear campaign against </w:t>
      </w:r>
      <w:r w:rsidR="001338A7" w:rsidRPr="006710FB">
        <w:rPr>
          <w:rFonts w:cs="Arial"/>
          <w:lang w:val="en-US"/>
        </w:rPr>
        <w:t xml:space="preserve">NGO leaders and </w:t>
      </w:r>
      <w:r w:rsidR="00C62F01" w:rsidRPr="006710FB">
        <w:rPr>
          <w:rFonts w:cs="Arial"/>
          <w:lang w:val="en-US"/>
        </w:rPr>
        <w:t xml:space="preserve">groups which criticize the government to interrogations of activists to actual </w:t>
      </w:r>
      <w:r w:rsidR="00C62F01" w:rsidRPr="006710FB">
        <w:rPr>
          <w:rFonts w:cs="Arial"/>
          <w:lang w:val="en-US"/>
        </w:rPr>
        <w:lastRenderedPageBreak/>
        <w:t xml:space="preserve">physical attacks in some cases. Criminal cases </w:t>
      </w:r>
      <w:r w:rsidR="00B0610E" w:rsidRPr="006710FB">
        <w:rPr>
          <w:rFonts w:cs="Arial"/>
          <w:lang w:val="en-US"/>
        </w:rPr>
        <w:t xml:space="preserve">and tax investigations </w:t>
      </w:r>
      <w:r w:rsidR="00C62F01" w:rsidRPr="006710FB">
        <w:rPr>
          <w:rFonts w:cs="Arial"/>
          <w:lang w:val="en-US"/>
        </w:rPr>
        <w:t xml:space="preserve">– either entirely trumped up or based on </w:t>
      </w:r>
      <w:r w:rsidR="001338A7" w:rsidRPr="006710FB">
        <w:rPr>
          <w:rFonts w:cs="Arial"/>
          <w:lang w:val="en-US"/>
        </w:rPr>
        <w:t xml:space="preserve">the politically-motivated application of </w:t>
      </w:r>
      <w:r w:rsidR="005F4EE8" w:rsidRPr="006710FB">
        <w:rPr>
          <w:rFonts w:cs="Arial"/>
          <w:lang w:val="en-US"/>
        </w:rPr>
        <w:t xml:space="preserve">excessively </w:t>
      </w:r>
      <w:r w:rsidR="00C62F01" w:rsidRPr="006710FB">
        <w:rPr>
          <w:rFonts w:cs="Arial"/>
          <w:lang w:val="en-US"/>
        </w:rPr>
        <w:t>flexible legal rules –</w:t>
      </w:r>
      <w:r w:rsidR="00B0610E" w:rsidRPr="006710FB">
        <w:rPr>
          <w:rFonts w:cs="Arial"/>
          <w:lang w:val="en-US"/>
        </w:rPr>
        <w:t xml:space="preserve"> </w:t>
      </w:r>
      <w:r w:rsidR="00C62F01" w:rsidRPr="006710FB">
        <w:rPr>
          <w:rFonts w:cs="Arial"/>
          <w:lang w:val="en-US"/>
        </w:rPr>
        <w:t xml:space="preserve">have been </w:t>
      </w:r>
      <w:r w:rsidR="00412BCA" w:rsidRPr="006710FB">
        <w:rPr>
          <w:rFonts w:cs="Arial"/>
          <w:lang w:val="en-US"/>
        </w:rPr>
        <w:t xml:space="preserve">launched </w:t>
      </w:r>
      <w:r w:rsidR="00C62F01" w:rsidRPr="006710FB">
        <w:rPr>
          <w:rFonts w:cs="Arial"/>
          <w:lang w:val="en-US"/>
        </w:rPr>
        <w:t xml:space="preserve">against a number of </w:t>
      </w:r>
      <w:r w:rsidR="00CF036E" w:rsidRPr="006710FB">
        <w:rPr>
          <w:rFonts w:cs="Arial"/>
          <w:lang w:val="en-US"/>
        </w:rPr>
        <w:t xml:space="preserve">NGOs </w:t>
      </w:r>
      <w:r w:rsidR="00412BCA" w:rsidRPr="006710FB">
        <w:rPr>
          <w:rFonts w:cs="Arial"/>
          <w:lang w:val="en-US"/>
        </w:rPr>
        <w:t xml:space="preserve">and </w:t>
      </w:r>
      <w:r w:rsidR="00C62F01" w:rsidRPr="006710FB">
        <w:rPr>
          <w:rFonts w:cs="Arial"/>
          <w:lang w:val="en-US"/>
        </w:rPr>
        <w:t xml:space="preserve">activists, as well as a number of </w:t>
      </w:r>
      <w:r w:rsidR="00CF036E" w:rsidRPr="006710FB">
        <w:rPr>
          <w:rFonts w:cs="Arial"/>
          <w:lang w:val="en-US"/>
        </w:rPr>
        <w:t>I</w:t>
      </w:r>
      <w:r w:rsidR="005F4EE8" w:rsidRPr="006710FB">
        <w:rPr>
          <w:rFonts w:cs="Arial"/>
          <w:lang w:val="en-US"/>
        </w:rPr>
        <w:t>NGOs.</w:t>
      </w:r>
    </w:p>
    <w:p w:rsidR="002A134A" w:rsidRPr="006710FB" w:rsidRDefault="002A134A" w:rsidP="002A134A">
      <w:pPr>
        <w:spacing w:after="0" w:line="240" w:lineRule="auto"/>
        <w:jc w:val="both"/>
        <w:rPr>
          <w:rFonts w:cs="Arial"/>
          <w:lang w:val="en-US"/>
        </w:rPr>
      </w:pPr>
    </w:p>
    <w:p w:rsidR="002A134A" w:rsidRPr="006710FB" w:rsidRDefault="002A134A" w:rsidP="002A134A">
      <w:pPr>
        <w:spacing w:after="0" w:line="240" w:lineRule="auto"/>
        <w:jc w:val="both"/>
        <w:rPr>
          <w:rFonts w:cs="Arial"/>
          <w:lang w:val="en-US"/>
        </w:rPr>
      </w:pPr>
      <w:r w:rsidRPr="006710FB">
        <w:rPr>
          <w:rFonts w:cs="Arial"/>
          <w:lang w:val="en-US"/>
        </w:rPr>
        <w:t xml:space="preserve">These tactics have exerted a powerful intimidating effect on independent </w:t>
      </w:r>
      <w:r w:rsidR="00CF036E" w:rsidRPr="006710FB">
        <w:rPr>
          <w:rFonts w:cs="Arial"/>
          <w:lang w:val="en-US"/>
        </w:rPr>
        <w:t xml:space="preserve">NGOs </w:t>
      </w:r>
      <w:r w:rsidRPr="006710FB">
        <w:rPr>
          <w:rFonts w:cs="Arial"/>
          <w:lang w:val="en-US"/>
        </w:rPr>
        <w:t xml:space="preserve">and their leaders. Some activists have censored themselves, withdrawn from NGO work or left the country </w:t>
      </w:r>
      <w:r w:rsidR="00B0610E" w:rsidRPr="006710FB">
        <w:rPr>
          <w:rFonts w:cs="Arial"/>
          <w:lang w:val="en-US"/>
        </w:rPr>
        <w:t xml:space="preserve">altogether </w:t>
      </w:r>
      <w:r w:rsidRPr="006710FB">
        <w:rPr>
          <w:rFonts w:cs="Arial"/>
          <w:lang w:val="en-US"/>
        </w:rPr>
        <w:t xml:space="preserve">because they fear retaliation. Many </w:t>
      </w:r>
      <w:r w:rsidR="00CF036E" w:rsidRPr="006710FB">
        <w:rPr>
          <w:rFonts w:cs="Arial"/>
          <w:lang w:val="en-US"/>
        </w:rPr>
        <w:t xml:space="preserve">NGOs </w:t>
      </w:r>
      <w:r w:rsidRPr="006710FB">
        <w:rPr>
          <w:rFonts w:cs="Arial"/>
          <w:lang w:val="en-US"/>
        </w:rPr>
        <w:t xml:space="preserve">have stopped operating, </w:t>
      </w:r>
      <w:r w:rsidR="00412BCA" w:rsidRPr="006710FB">
        <w:rPr>
          <w:rFonts w:cs="Arial"/>
          <w:lang w:val="en-US"/>
        </w:rPr>
        <w:t xml:space="preserve">in some cases permanently, </w:t>
      </w:r>
      <w:r w:rsidRPr="006710FB">
        <w:rPr>
          <w:rFonts w:cs="Arial"/>
          <w:lang w:val="en-US"/>
        </w:rPr>
        <w:t>while others struggl</w:t>
      </w:r>
      <w:r w:rsidR="00412BCA" w:rsidRPr="006710FB">
        <w:rPr>
          <w:rFonts w:cs="Arial"/>
          <w:lang w:val="en-US"/>
        </w:rPr>
        <w:t>e to continue their activities.</w:t>
      </w:r>
      <w:r w:rsidR="00412BCA" w:rsidRPr="006710FB">
        <w:rPr>
          <w:rStyle w:val="FootnoteReference"/>
          <w:lang w:val="en-US"/>
        </w:rPr>
        <w:footnoteReference w:id="1"/>
      </w:r>
    </w:p>
    <w:p w:rsidR="00412BCA" w:rsidRPr="006710FB" w:rsidRDefault="00412BCA" w:rsidP="00C62F01">
      <w:pPr>
        <w:spacing w:after="0" w:line="240" w:lineRule="auto"/>
        <w:jc w:val="both"/>
        <w:rPr>
          <w:rFonts w:cs="Arial"/>
          <w:lang w:val="en-US"/>
        </w:rPr>
      </w:pPr>
    </w:p>
    <w:p w:rsidR="00692BC7" w:rsidRPr="006710FB" w:rsidRDefault="002A134A" w:rsidP="00C62F01">
      <w:pPr>
        <w:spacing w:after="0" w:line="240" w:lineRule="auto"/>
        <w:jc w:val="both"/>
        <w:rPr>
          <w:rFonts w:cs="Arial"/>
          <w:lang w:val="en-US"/>
        </w:rPr>
      </w:pPr>
      <w:r w:rsidRPr="006710FB">
        <w:rPr>
          <w:rFonts w:cs="Arial"/>
          <w:lang w:val="en-US"/>
        </w:rPr>
        <w:t xml:space="preserve">This letter outlines the key problems in the current environment, while the accompanying Annex, Closing the Civic Space in Azerbaijan: Actions that Undermine the Values and Principles of the Open Government Partnership, sets out in more detail the specific measures and cases which </w:t>
      </w:r>
      <w:r w:rsidR="00B0610E" w:rsidRPr="006710FB">
        <w:rPr>
          <w:rFonts w:cs="Arial"/>
          <w:lang w:val="en-US"/>
        </w:rPr>
        <w:t>underlie</w:t>
      </w:r>
      <w:r w:rsidRPr="006710FB">
        <w:rPr>
          <w:rFonts w:cs="Arial"/>
          <w:lang w:val="en-US"/>
        </w:rPr>
        <w:t xml:space="preserve"> those problems.</w:t>
      </w:r>
      <w:r w:rsidR="00412BCA" w:rsidRPr="006710FB">
        <w:rPr>
          <w:rFonts w:cs="Arial"/>
          <w:lang w:val="en-US"/>
        </w:rPr>
        <w:t xml:space="preserve"> Both the letter and the Annex are divided into </w:t>
      </w:r>
      <w:r w:rsidR="00697591" w:rsidRPr="006710FB">
        <w:rPr>
          <w:rFonts w:cs="Arial"/>
          <w:lang w:val="en-US"/>
        </w:rPr>
        <w:t>the following</w:t>
      </w:r>
      <w:r w:rsidR="00412BCA" w:rsidRPr="006710FB">
        <w:rPr>
          <w:rFonts w:cs="Arial"/>
          <w:lang w:val="en-US"/>
        </w:rPr>
        <w:t xml:space="preserve"> substantive sections: Government Control over Registration and Operations of </w:t>
      </w:r>
      <w:r w:rsidR="00CF036E" w:rsidRPr="006710FB">
        <w:rPr>
          <w:rFonts w:cs="Arial"/>
          <w:lang w:val="en-US"/>
        </w:rPr>
        <w:t>NGOs</w:t>
      </w:r>
      <w:r w:rsidR="00412BCA" w:rsidRPr="006710FB">
        <w:rPr>
          <w:rFonts w:cs="Arial"/>
          <w:lang w:val="en-US"/>
        </w:rPr>
        <w:t xml:space="preserve">; Government Control over </w:t>
      </w:r>
      <w:r w:rsidR="00CF036E" w:rsidRPr="006710FB">
        <w:rPr>
          <w:rFonts w:cs="Arial"/>
          <w:lang w:val="en-US"/>
        </w:rPr>
        <w:t xml:space="preserve">NGO </w:t>
      </w:r>
      <w:r w:rsidR="00412BCA" w:rsidRPr="006710FB">
        <w:rPr>
          <w:rFonts w:cs="Arial"/>
          <w:lang w:val="en-US"/>
        </w:rPr>
        <w:t xml:space="preserve">Finances; Harassment of Civil Society; Criminal and Tax Cases; and Consultation Failures. </w:t>
      </w:r>
      <w:r w:rsidR="007870A3" w:rsidRPr="006710FB">
        <w:rPr>
          <w:rFonts w:eastAsiaTheme="minorEastAsia" w:cs="Arial"/>
          <w:lang w:val="en-US"/>
        </w:rPr>
        <w:t>Due to the sensitivity of some of the information it contains, we ask the Steering Committee to keep the Annex confidential.</w:t>
      </w:r>
    </w:p>
    <w:p w:rsidR="00A3399E" w:rsidRPr="006710FB" w:rsidRDefault="00A3399E" w:rsidP="00A3399E">
      <w:pPr>
        <w:spacing w:after="0" w:line="240" w:lineRule="auto"/>
        <w:jc w:val="both"/>
        <w:rPr>
          <w:rFonts w:cs="Arial"/>
          <w:lang w:val="en-US"/>
        </w:rPr>
      </w:pPr>
    </w:p>
    <w:p w:rsidR="005B055C" w:rsidRPr="006710FB" w:rsidRDefault="005B055C" w:rsidP="00A3399E">
      <w:pPr>
        <w:spacing w:after="0" w:line="240" w:lineRule="auto"/>
        <w:jc w:val="both"/>
        <w:rPr>
          <w:rFonts w:cs="Arial"/>
          <w:b/>
          <w:lang w:val="en-US"/>
        </w:rPr>
      </w:pPr>
      <w:r w:rsidRPr="006710FB">
        <w:rPr>
          <w:rFonts w:cs="Arial"/>
          <w:b/>
          <w:lang w:val="en-US"/>
        </w:rPr>
        <w:t>Background</w:t>
      </w:r>
    </w:p>
    <w:p w:rsidR="00F750B8" w:rsidRPr="006710FB" w:rsidRDefault="00F750B8" w:rsidP="00945837">
      <w:pPr>
        <w:spacing w:after="0" w:line="240" w:lineRule="auto"/>
        <w:jc w:val="both"/>
        <w:rPr>
          <w:rFonts w:cs="Arial"/>
          <w:lang w:val="en-US"/>
        </w:rPr>
      </w:pPr>
    </w:p>
    <w:p w:rsidR="00945837" w:rsidRPr="006710FB" w:rsidRDefault="00945837" w:rsidP="00945837">
      <w:pPr>
        <w:spacing w:after="0" w:line="240" w:lineRule="auto"/>
        <w:jc w:val="both"/>
        <w:rPr>
          <w:rFonts w:cs="Arial"/>
          <w:b/>
          <w:lang w:val="en-US"/>
        </w:rPr>
      </w:pPr>
      <w:r w:rsidRPr="006710FB">
        <w:rPr>
          <w:rFonts w:cs="Arial"/>
          <w:lang w:val="en-US"/>
        </w:rPr>
        <w:t xml:space="preserve">From a legal perspective, important amendments to the Law on Grants, Law on Non-governmental Organizations, Law on Registration of Legal Entities and State Registry and the Code on Administrative Offenses were enacted by the Azeri Parliament </w:t>
      </w:r>
      <w:r w:rsidR="00B0610E" w:rsidRPr="006710FB">
        <w:rPr>
          <w:rFonts w:cs="Arial"/>
          <w:lang w:val="en-US"/>
        </w:rPr>
        <w:t>on</w:t>
      </w:r>
      <w:r w:rsidR="004B5A89" w:rsidRPr="006710FB">
        <w:rPr>
          <w:rFonts w:cs="Arial"/>
          <w:lang w:val="en-US"/>
        </w:rPr>
        <w:t xml:space="preserve"> 17</w:t>
      </w:r>
      <w:r w:rsidRPr="006710FB">
        <w:rPr>
          <w:rFonts w:cs="Arial"/>
          <w:lang w:val="en-US"/>
        </w:rPr>
        <w:t xml:space="preserve"> December 2013 and si</w:t>
      </w:r>
      <w:r w:rsidR="00F35C74" w:rsidRPr="006710FB">
        <w:rPr>
          <w:rFonts w:cs="Arial"/>
          <w:lang w:val="en-US"/>
        </w:rPr>
        <w:t>gned into law by the President o</w:t>
      </w:r>
      <w:r w:rsidRPr="006710FB">
        <w:rPr>
          <w:rFonts w:cs="Arial"/>
          <w:lang w:val="en-US"/>
        </w:rPr>
        <w:t xml:space="preserve">n </w:t>
      </w:r>
      <w:r w:rsidR="00F35C74" w:rsidRPr="006710FB">
        <w:rPr>
          <w:rFonts w:cs="Arial"/>
          <w:lang w:val="en-US"/>
        </w:rPr>
        <w:t xml:space="preserve">3 </w:t>
      </w:r>
      <w:r w:rsidRPr="006710FB">
        <w:rPr>
          <w:rFonts w:cs="Arial"/>
          <w:lang w:val="en-US"/>
        </w:rPr>
        <w:t>February 2014 (</w:t>
      </w:r>
      <w:r w:rsidR="004B5A89" w:rsidRPr="006710FB">
        <w:rPr>
          <w:rFonts w:cs="Arial"/>
          <w:lang w:val="en-US"/>
        </w:rPr>
        <w:t xml:space="preserve">February 2014 Amendments). </w:t>
      </w:r>
      <w:r w:rsidR="00921CB4" w:rsidRPr="006710FB">
        <w:rPr>
          <w:rFonts w:cs="Arial"/>
          <w:lang w:val="en-US"/>
        </w:rPr>
        <w:t>A number of local groups working on open government issues criticized these legal changes when they were presented in draft form.</w:t>
      </w:r>
      <w:r w:rsidR="00921CB4" w:rsidRPr="006710FB">
        <w:rPr>
          <w:rFonts w:cs="Arial"/>
          <w:vertAlign w:val="superscript"/>
          <w:lang w:val="en-US"/>
        </w:rPr>
        <w:footnoteReference w:id="2"/>
      </w:r>
      <w:r w:rsidR="00921CB4" w:rsidRPr="006710FB">
        <w:rPr>
          <w:rFonts w:cs="Arial"/>
          <w:lang w:val="en-US"/>
        </w:rPr>
        <w:t xml:space="preserve"> </w:t>
      </w:r>
      <w:r w:rsidR="004B5A89" w:rsidRPr="006710FB">
        <w:rPr>
          <w:rFonts w:cs="Arial"/>
          <w:lang w:val="en-US"/>
        </w:rPr>
        <w:t>The Law</w:t>
      </w:r>
      <w:r w:rsidR="00F35C74" w:rsidRPr="006710FB">
        <w:rPr>
          <w:rFonts w:cs="Arial"/>
          <w:lang w:val="en-US"/>
        </w:rPr>
        <w:t>s</w:t>
      </w:r>
      <w:r w:rsidR="004B5A89" w:rsidRPr="006710FB">
        <w:rPr>
          <w:rFonts w:cs="Arial"/>
          <w:lang w:val="en-US"/>
        </w:rPr>
        <w:t xml:space="preserve"> on Grants </w:t>
      </w:r>
      <w:r w:rsidR="00F35C74" w:rsidRPr="006710FB">
        <w:rPr>
          <w:rFonts w:cs="Arial"/>
          <w:lang w:val="en-US"/>
        </w:rPr>
        <w:t>and on NGOs were further amended o</w:t>
      </w:r>
      <w:r w:rsidR="004B5A89" w:rsidRPr="006710FB">
        <w:rPr>
          <w:rFonts w:cs="Arial"/>
          <w:lang w:val="en-US"/>
        </w:rPr>
        <w:t xml:space="preserve">n </w:t>
      </w:r>
      <w:r w:rsidR="00F35C74" w:rsidRPr="006710FB">
        <w:rPr>
          <w:rFonts w:cs="Arial"/>
          <w:lang w:val="en-US"/>
        </w:rPr>
        <w:t xml:space="preserve">17 October 2014, </w:t>
      </w:r>
      <w:r w:rsidR="001338A7" w:rsidRPr="006710FB">
        <w:rPr>
          <w:rFonts w:cs="Arial"/>
          <w:lang w:val="en-US"/>
        </w:rPr>
        <w:t xml:space="preserve">and </w:t>
      </w:r>
      <w:r w:rsidR="00F35C74" w:rsidRPr="006710FB">
        <w:rPr>
          <w:rFonts w:cs="Arial"/>
          <w:lang w:val="en-US"/>
        </w:rPr>
        <w:t xml:space="preserve">signed into law by the President on 14 </w:t>
      </w:r>
      <w:r w:rsidR="004B5A89" w:rsidRPr="006710FB">
        <w:rPr>
          <w:rFonts w:cs="Arial"/>
          <w:lang w:val="en-US"/>
        </w:rPr>
        <w:t>November 2014</w:t>
      </w:r>
      <w:r w:rsidR="00173EA1" w:rsidRPr="006710FB">
        <w:rPr>
          <w:rFonts w:cs="Arial"/>
          <w:lang w:val="en-US"/>
        </w:rPr>
        <w:t xml:space="preserve"> (November 2014 Amendments).</w:t>
      </w:r>
    </w:p>
    <w:p w:rsidR="00945837" w:rsidRPr="006710FB" w:rsidRDefault="00945837" w:rsidP="00945837">
      <w:pPr>
        <w:spacing w:after="0" w:line="240" w:lineRule="auto"/>
        <w:jc w:val="both"/>
        <w:rPr>
          <w:rFonts w:cs="Arial"/>
          <w:lang w:val="en-US"/>
        </w:rPr>
      </w:pPr>
    </w:p>
    <w:p w:rsidR="00F750B8" w:rsidRPr="006710FB" w:rsidRDefault="00F750B8" w:rsidP="00945837">
      <w:pPr>
        <w:spacing w:after="0" w:line="240" w:lineRule="auto"/>
        <w:jc w:val="both"/>
        <w:rPr>
          <w:rFonts w:cs="Arial"/>
          <w:lang w:val="en-US"/>
        </w:rPr>
      </w:pPr>
      <w:r w:rsidRPr="006710FB">
        <w:rPr>
          <w:rFonts w:cs="Arial"/>
          <w:lang w:val="en-US"/>
        </w:rPr>
        <w:t xml:space="preserve">The situation was already difficult prior </w:t>
      </w:r>
      <w:r w:rsidR="00FA3957" w:rsidRPr="006710FB">
        <w:rPr>
          <w:rFonts w:cs="Arial"/>
          <w:lang w:val="en-US"/>
        </w:rPr>
        <w:t>to the adoption of the February 2014 Amendments. A wave of arrests of journalists, youth activists, opposition figures and NGO leaders began in 2013. In many cases, those arrested were criminally prosecuted on trumped-up charges, followed by unfair convictions and long sentences. These problems were chronicled in a 100-page report published by</w:t>
      </w:r>
      <w:r w:rsidRPr="006710FB">
        <w:rPr>
          <w:rFonts w:cs="Arial"/>
          <w:lang w:val="en-US"/>
        </w:rPr>
        <w:t xml:space="preserve"> Human Rights Watch </w:t>
      </w:r>
      <w:r w:rsidR="00FA3957" w:rsidRPr="006710FB">
        <w:rPr>
          <w:rFonts w:cs="Arial"/>
          <w:lang w:val="en-US"/>
        </w:rPr>
        <w:t>on 2</w:t>
      </w:r>
      <w:r w:rsidRPr="006710FB">
        <w:rPr>
          <w:rFonts w:cs="Arial"/>
          <w:lang w:val="en-US"/>
        </w:rPr>
        <w:t xml:space="preserve"> September 2013, </w:t>
      </w:r>
      <w:r w:rsidR="00FA3957" w:rsidRPr="006710FB">
        <w:rPr>
          <w:rFonts w:cs="Arial"/>
          <w:lang w:val="en-US"/>
        </w:rPr>
        <w:t xml:space="preserve">called </w:t>
      </w:r>
      <w:proofErr w:type="gramStart"/>
      <w:r w:rsidRPr="006710FB">
        <w:rPr>
          <w:rFonts w:cs="Arial"/>
          <w:i/>
          <w:lang w:val="en-US"/>
        </w:rPr>
        <w:t>Tightening</w:t>
      </w:r>
      <w:proofErr w:type="gramEnd"/>
      <w:r w:rsidRPr="006710FB">
        <w:rPr>
          <w:rFonts w:cs="Arial"/>
          <w:i/>
          <w:lang w:val="en-US"/>
        </w:rPr>
        <w:t xml:space="preserve"> the Screws: Azerbaijan’s Crackdown on C</w:t>
      </w:r>
      <w:r w:rsidR="00FA3957" w:rsidRPr="006710FB">
        <w:rPr>
          <w:rFonts w:cs="Arial"/>
          <w:i/>
          <w:lang w:val="en-US"/>
        </w:rPr>
        <w:t>ivil S</w:t>
      </w:r>
      <w:r w:rsidRPr="006710FB">
        <w:rPr>
          <w:rFonts w:cs="Arial"/>
          <w:i/>
          <w:lang w:val="en-US"/>
        </w:rPr>
        <w:t xml:space="preserve">ociety and </w:t>
      </w:r>
      <w:r w:rsidR="00FA3957" w:rsidRPr="006710FB">
        <w:rPr>
          <w:rFonts w:cs="Arial"/>
          <w:i/>
          <w:lang w:val="en-US"/>
        </w:rPr>
        <w:t>Dissent</w:t>
      </w:r>
      <w:r w:rsidRPr="006710FB">
        <w:rPr>
          <w:rFonts w:cs="Arial"/>
          <w:lang w:val="en-US"/>
        </w:rPr>
        <w:t xml:space="preserve">, </w:t>
      </w:r>
      <w:r w:rsidR="00FA3957" w:rsidRPr="006710FB">
        <w:rPr>
          <w:rFonts w:cs="Arial"/>
          <w:lang w:val="en-US"/>
        </w:rPr>
        <w:t>which the organization describes as documenting “the dramatic deterioration of the government’s record on freedom of expression, assembly, and association in the past 18 months”.</w:t>
      </w:r>
      <w:bookmarkStart w:id="0" w:name="_Ref286506288"/>
      <w:r w:rsidR="00FA3957" w:rsidRPr="006710FB">
        <w:rPr>
          <w:rStyle w:val="FootnoteReference"/>
          <w:lang w:val="en-US"/>
        </w:rPr>
        <w:footnoteReference w:id="3"/>
      </w:r>
      <w:bookmarkEnd w:id="0"/>
      <w:r w:rsidR="00B0610E" w:rsidRPr="006710FB">
        <w:rPr>
          <w:rFonts w:cs="Arial"/>
          <w:lang w:val="en-US"/>
        </w:rPr>
        <w:t xml:space="preserve"> The problems</w:t>
      </w:r>
      <w:r w:rsidR="00FA3957" w:rsidRPr="006710FB">
        <w:rPr>
          <w:rFonts w:cs="Arial"/>
          <w:lang w:val="en-US"/>
        </w:rPr>
        <w:t xml:space="preserve"> were also </w:t>
      </w:r>
      <w:r w:rsidR="00B0610E" w:rsidRPr="006710FB">
        <w:rPr>
          <w:rFonts w:cs="Arial"/>
          <w:lang w:val="en-US"/>
        </w:rPr>
        <w:t xml:space="preserve">highlighted </w:t>
      </w:r>
      <w:r w:rsidR="00A06824" w:rsidRPr="006710FB">
        <w:rPr>
          <w:rFonts w:cs="Arial"/>
          <w:lang w:val="en-US"/>
        </w:rPr>
        <w:t xml:space="preserve">in more than a dozen </w:t>
      </w:r>
      <w:r w:rsidR="00FA3957" w:rsidRPr="006710FB">
        <w:rPr>
          <w:rFonts w:cs="Arial"/>
          <w:lang w:val="en-US"/>
        </w:rPr>
        <w:t xml:space="preserve">of </w:t>
      </w:r>
      <w:r w:rsidR="002D68ED" w:rsidRPr="006710FB">
        <w:rPr>
          <w:rFonts w:cs="Arial"/>
          <w:lang w:val="en-US"/>
        </w:rPr>
        <w:t xml:space="preserve">cases involving Azerbaijan in </w:t>
      </w:r>
      <w:r w:rsidR="00A06824" w:rsidRPr="006710FB">
        <w:rPr>
          <w:rFonts w:cs="Arial"/>
          <w:lang w:val="en-US"/>
        </w:rPr>
        <w:t xml:space="preserve">all of </w:t>
      </w:r>
      <w:r w:rsidR="002D68ED" w:rsidRPr="006710FB">
        <w:rPr>
          <w:rFonts w:cs="Arial"/>
          <w:lang w:val="en-US"/>
        </w:rPr>
        <w:t>which the European Court of Human Rights found it to be in breach of its obligations under Article 11 of the European Convention on Human Rights, specifically for a failure to respect the right to freedom of association (of which the most recent was decided on 13 March 2014)</w:t>
      </w:r>
      <w:r w:rsidR="00A06824" w:rsidRPr="006710FB">
        <w:rPr>
          <w:rFonts w:cs="Arial"/>
          <w:lang w:val="en-US"/>
        </w:rPr>
        <w:t xml:space="preserve"> and mostly for failures by the </w:t>
      </w:r>
      <w:proofErr w:type="spellStart"/>
      <w:r w:rsidR="00A06824" w:rsidRPr="006710FB">
        <w:rPr>
          <w:rFonts w:cs="Arial"/>
          <w:lang w:val="en-US"/>
        </w:rPr>
        <w:t>MoJ</w:t>
      </w:r>
      <w:proofErr w:type="spellEnd"/>
      <w:r w:rsidR="00A06824" w:rsidRPr="006710FB">
        <w:rPr>
          <w:rFonts w:cs="Arial"/>
          <w:lang w:val="en-US"/>
        </w:rPr>
        <w:t xml:space="preserve"> to register NGOs</w:t>
      </w:r>
      <w:r w:rsidR="002D68ED" w:rsidRPr="006710FB">
        <w:rPr>
          <w:rFonts w:cs="Arial"/>
          <w:lang w:val="en-US"/>
        </w:rPr>
        <w:t>.</w:t>
      </w:r>
      <w:r w:rsidR="00A06824" w:rsidRPr="006710FB">
        <w:rPr>
          <w:rStyle w:val="FootnoteReference"/>
          <w:rFonts w:cs="Arial"/>
          <w:lang w:val="en-US"/>
        </w:rPr>
        <w:footnoteReference w:id="4"/>
      </w:r>
      <w:r w:rsidR="002D68ED" w:rsidRPr="006710FB">
        <w:rPr>
          <w:rFonts w:cs="Arial"/>
          <w:lang w:val="en-US"/>
        </w:rPr>
        <w:t xml:space="preserve"> In many of these cases, the problem was </w:t>
      </w:r>
      <w:r w:rsidR="002D68ED" w:rsidRPr="006710FB">
        <w:rPr>
          <w:rFonts w:cs="Arial"/>
          <w:lang w:val="en-US"/>
        </w:rPr>
        <w:lastRenderedPageBreak/>
        <w:t xml:space="preserve">that restrictions on freedom of association failed to meet the requirement of being prescribed by law, which is </w:t>
      </w:r>
      <w:r w:rsidR="00B0610E" w:rsidRPr="006710FB">
        <w:rPr>
          <w:rFonts w:cs="Arial"/>
          <w:lang w:val="en-US"/>
        </w:rPr>
        <w:t>usually engaged</w:t>
      </w:r>
      <w:r w:rsidR="002D68ED" w:rsidRPr="006710FB">
        <w:rPr>
          <w:rFonts w:cs="Arial"/>
          <w:lang w:val="en-US"/>
        </w:rPr>
        <w:t xml:space="preserve"> where law</w:t>
      </w:r>
      <w:r w:rsidR="00B0610E" w:rsidRPr="006710FB">
        <w:rPr>
          <w:rFonts w:cs="Arial"/>
          <w:lang w:val="en-US"/>
        </w:rPr>
        <w:t>s</w:t>
      </w:r>
      <w:r w:rsidR="002D68ED" w:rsidRPr="006710FB">
        <w:rPr>
          <w:rFonts w:cs="Arial"/>
          <w:lang w:val="en-US"/>
        </w:rPr>
        <w:t xml:space="preserve"> </w:t>
      </w:r>
      <w:r w:rsidR="00B0610E" w:rsidRPr="006710FB">
        <w:rPr>
          <w:rFonts w:cs="Arial"/>
          <w:lang w:val="en-US"/>
        </w:rPr>
        <w:t>are unduly vague or vest</w:t>
      </w:r>
      <w:r w:rsidR="002D68ED" w:rsidRPr="006710FB">
        <w:rPr>
          <w:rFonts w:cs="Arial"/>
          <w:lang w:val="en-US"/>
        </w:rPr>
        <w:t xml:space="preserve"> </w:t>
      </w:r>
      <w:r w:rsidR="005F4EE8" w:rsidRPr="006710FB">
        <w:rPr>
          <w:rFonts w:cs="Arial"/>
          <w:lang w:val="en-US"/>
        </w:rPr>
        <w:t>excessive</w:t>
      </w:r>
      <w:r w:rsidR="002D68ED" w:rsidRPr="006710FB">
        <w:rPr>
          <w:rFonts w:cs="Arial"/>
          <w:lang w:val="en-US"/>
        </w:rPr>
        <w:t xml:space="preserve"> discretion in officials.</w:t>
      </w:r>
    </w:p>
    <w:p w:rsidR="00FA3957" w:rsidRPr="006710FB" w:rsidRDefault="00FA3957" w:rsidP="00945837">
      <w:pPr>
        <w:spacing w:after="0" w:line="240" w:lineRule="auto"/>
        <w:jc w:val="both"/>
        <w:rPr>
          <w:rFonts w:cs="Arial"/>
          <w:lang w:val="en-US"/>
        </w:rPr>
      </w:pPr>
    </w:p>
    <w:p w:rsidR="002A134A" w:rsidRPr="006710FB" w:rsidRDefault="002A134A" w:rsidP="00945837">
      <w:pPr>
        <w:spacing w:after="0" w:line="240" w:lineRule="auto"/>
        <w:jc w:val="both"/>
        <w:rPr>
          <w:rFonts w:cs="Arial"/>
          <w:lang w:val="en-US"/>
        </w:rPr>
      </w:pPr>
      <w:r w:rsidRPr="006710FB">
        <w:rPr>
          <w:rFonts w:cs="Arial"/>
          <w:lang w:val="en-US"/>
        </w:rPr>
        <w:t>In response to the repression</w:t>
      </w:r>
      <w:r w:rsidR="00B0610E" w:rsidRPr="006710FB">
        <w:rPr>
          <w:rFonts w:cs="Arial"/>
          <w:lang w:val="en-US"/>
        </w:rPr>
        <w:t xml:space="preserve"> prior to February 2014</w:t>
      </w:r>
      <w:r w:rsidRPr="006710FB">
        <w:rPr>
          <w:rFonts w:cs="Arial"/>
          <w:lang w:val="en-US"/>
        </w:rPr>
        <w:t xml:space="preserve">, a number of </w:t>
      </w:r>
      <w:r w:rsidR="00CF036E" w:rsidRPr="006710FB">
        <w:rPr>
          <w:rFonts w:cs="Arial"/>
          <w:lang w:val="en-US"/>
        </w:rPr>
        <w:t xml:space="preserve">NGOs </w:t>
      </w:r>
      <w:r w:rsidRPr="006710FB">
        <w:rPr>
          <w:rFonts w:cs="Arial"/>
          <w:lang w:val="en-US"/>
        </w:rPr>
        <w:t>had</w:t>
      </w:r>
      <w:r w:rsidR="00B0610E" w:rsidRPr="006710FB">
        <w:rPr>
          <w:rFonts w:cs="Arial"/>
          <w:lang w:val="en-US"/>
        </w:rPr>
        <w:t xml:space="preserve"> found different ways of coping. </w:t>
      </w:r>
      <w:r w:rsidR="001338A7" w:rsidRPr="006710FB">
        <w:rPr>
          <w:rFonts w:cs="Arial"/>
          <w:lang w:val="en-US"/>
        </w:rPr>
        <w:t>Some groups which had been denied registration, and thus could not receive funds directly, arranged for their funds to be received through individuals, typically the</w:t>
      </w:r>
      <w:r w:rsidR="005F4EE8" w:rsidRPr="006710FB">
        <w:rPr>
          <w:rFonts w:cs="Arial"/>
          <w:lang w:val="en-US"/>
        </w:rPr>
        <w:t>ir</w:t>
      </w:r>
      <w:r w:rsidR="001338A7" w:rsidRPr="006710FB">
        <w:rPr>
          <w:rFonts w:cs="Arial"/>
          <w:lang w:val="en-US"/>
        </w:rPr>
        <w:t xml:space="preserve"> leaders or through partner NGOs</w:t>
      </w:r>
      <w:r w:rsidR="005F4EE8" w:rsidRPr="006710FB">
        <w:rPr>
          <w:rFonts w:cs="Arial"/>
          <w:lang w:val="en-US"/>
        </w:rPr>
        <w:t>,</w:t>
      </w:r>
      <w:r w:rsidR="001338A7" w:rsidRPr="006710FB">
        <w:rPr>
          <w:rFonts w:cs="Arial"/>
          <w:lang w:val="en-US"/>
        </w:rPr>
        <w:t xml:space="preserve"> which served as financial intermediaries. These indirect approaches to accessing funds</w:t>
      </w:r>
      <w:r w:rsidRPr="006710FB">
        <w:rPr>
          <w:rFonts w:cs="Arial"/>
          <w:lang w:val="en-US"/>
        </w:rPr>
        <w:t xml:space="preserve"> need to be understood in light of the situation that pertained at the time, whereby government was abusing its power and exercising </w:t>
      </w:r>
      <w:r w:rsidR="001338A7" w:rsidRPr="006710FB">
        <w:rPr>
          <w:rFonts w:cs="Arial"/>
          <w:lang w:val="en-US"/>
        </w:rPr>
        <w:t xml:space="preserve">undue </w:t>
      </w:r>
      <w:r w:rsidRPr="006710FB">
        <w:rPr>
          <w:rFonts w:cs="Arial"/>
          <w:lang w:val="en-US"/>
        </w:rPr>
        <w:t xml:space="preserve">control over </w:t>
      </w:r>
      <w:r w:rsidR="00CF036E" w:rsidRPr="006710FB">
        <w:rPr>
          <w:rFonts w:cs="Arial"/>
          <w:lang w:val="en-US"/>
        </w:rPr>
        <w:t>NGOs</w:t>
      </w:r>
      <w:r w:rsidRPr="006710FB">
        <w:rPr>
          <w:rFonts w:cs="Arial"/>
          <w:lang w:val="en-US"/>
        </w:rPr>
        <w:t xml:space="preserve">. The February </w:t>
      </w:r>
      <w:r w:rsidR="005F4EE8" w:rsidRPr="006710FB">
        <w:rPr>
          <w:rFonts w:cs="Arial"/>
          <w:lang w:val="en-US"/>
        </w:rPr>
        <w:t xml:space="preserve">and November </w:t>
      </w:r>
      <w:r w:rsidRPr="006710FB">
        <w:rPr>
          <w:rFonts w:cs="Arial"/>
          <w:lang w:val="en-US"/>
        </w:rPr>
        <w:t xml:space="preserve">2014 Amendments were inspired, in part, by a desire on the part of government to close the loopholes that effectively allowed critical </w:t>
      </w:r>
      <w:r w:rsidR="00CF036E" w:rsidRPr="006710FB">
        <w:rPr>
          <w:rFonts w:cs="Arial"/>
          <w:lang w:val="en-US"/>
        </w:rPr>
        <w:t xml:space="preserve">NGOs </w:t>
      </w:r>
      <w:r w:rsidRPr="006710FB">
        <w:rPr>
          <w:rFonts w:cs="Arial"/>
          <w:lang w:val="en-US"/>
        </w:rPr>
        <w:t xml:space="preserve">to continue to operate. </w:t>
      </w:r>
    </w:p>
    <w:p w:rsidR="00FA3957" w:rsidRPr="006710FB" w:rsidRDefault="00FA3957" w:rsidP="00945837">
      <w:pPr>
        <w:spacing w:after="0" w:line="240" w:lineRule="auto"/>
        <w:jc w:val="both"/>
        <w:rPr>
          <w:rFonts w:cs="Arial"/>
          <w:lang w:val="en-US"/>
        </w:rPr>
      </w:pPr>
    </w:p>
    <w:p w:rsidR="00412BCA" w:rsidRPr="006710FB" w:rsidRDefault="00412BCA" w:rsidP="00945837">
      <w:pPr>
        <w:spacing w:after="0" w:line="240" w:lineRule="auto"/>
        <w:jc w:val="both"/>
        <w:rPr>
          <w:rFonts w:cs="Arial"/>
          <w:b/>
          <w:lang w:val="en-US"/>
        </w:rPr>
      </w:pPr>
      <w:r w:rsidRPr="006710FB">
        <w:rPr>
          <w:rFonts w:cs="Arial"/>
          <w:b/>
          <w:lang w:val="en-US"/>
        </w:rPr>
        <w:t xml:space="preserve">Government Control over Registration and Operations of </w:t>
      </w:r>
      <w:r w:rsidR="00CF036E" w:rsidRPr="006710FB">
        <w:rPr>
          <w:rFonts w:cs="Arial"/>
          <w:b/>
          <w:lang w:val="en-US"/>
        </w:rPr>
        <w:t>NGOs</w:t>
      </w:r>
    </w:p>
    <w:p w:rsidR="00C6700F" w:rsidRPr="006710FB" w:rsidRDefault="00C6700F" w:rsidP="00945837">
      <w:pPr>
        <w:spacing w:after="0" w:line="240" w:lineRule="auto"/>
        <w:jc w:val="both"/>
        <w:rPr>
          <w:rFonts w:cs="Arial"/>
          <w:lang w:val="en-US"/>
        </w:rPr>
      </w:pPr>
    </w:p>
    <w:p w:rsidR="00CF036E" w:rsidRPr="006710FB" w:rsidRDefault="00C6700F" w:rsidP="00945837">
      <w:pPr>
        <w:spacing w:after="0" w:line="240" w:lineRule="auto"/>
        <w:jc w:val="both"/>
        <w:rPr>
          <w:rFonts w:cs="Arial"/>
          <w:b/>
          <w:lang w:val="en-US"/>
        </w:rPr>
      </w:pPr>
      <w:r w:rsidRPr="006710FB">
        <w:rPr>
          <w:rFonts w:cs="Arial"/>
          <w:lang w:val="en-US"/>
        </w:rPr>
        <w:t xml:space="preserve">The rules, including as a result of the </w:t>
      </w:r>
      <w:r w:rsidR="00173EA1" w:rsidRPr="006710FB">
        <w:rPr>
          <w:rFonts w:cs="Arial"/>
          <w:lang w:val="en-US"/>
        </w:rPr>
        <w:t>recent a</w:t>
      </w:r>
      <w:r w:rsidRPr="006710FB">
        <w:rPr>
          <w:rFonts w:cs="Arial"/>
          <w:lang w:val="en-US"/>
        </w:rPr>
        <w:t xml:space="preserve">mendments, give the </w:t>
      </w:r>
      <w:proofErr w:type="gramStart"/>
      <w:r w:rsidRPr="006710FB">
        <w:rPr>
          <w:rFonts w:cs="Arial"/>
          <w:lang w:val="en-US"/>
        </w:rPr>
        <w:t>government,</w:t>
      </w:r>
      <w:proofErr w:type="gramEnd"/>
      <w:r w:rsidRPr="006710FB">
        <w:rPr>
          <w:rFonts w:cs="Arial"/>
          <w:lang w:val="en-US"/>
        </w:rPr>
        <w:t xml:space="preserve"> and the Ministry of Justice (</w:t>
      </w:r>
      <w:proofErr w:type="spellStart"/>
      <w:r w:rsidRPr="006710FB">
        <w:rPr>
          <w:rFonts w:cs="Arial"/>
          <w:lang w:val="en-US"/>
        </w:rPr>
        <w:t>MoJ</w:t>
      </w:r>
      <w:proofErr w:type="spellEnd"/>
      <w:r w:rsidRPr="006710FB">
        <w:rPr>
          <w:rFonts w:cs="Arial"/>
          <w:lang w:val="en-US"/>
        </w:rPr>
        <w:t xml:space="preserve">) in particular, extensive control over the operations of </w:t>
      </w:r>
      <w:r w:rsidR="00CF036E" w:rsidRPr="006710FB">
        <w:rPr>
          <w:rFonts w:cs="Arial"/>
          <w:lang w:val="en-US"/>
        </w:rPr>
        <w:t>NGOs</w:t>
      </w:r>
      <w:r w:rsidR="001338A7" w:rsidRPr="006710FB">
        <w:rPr>
          <w:rFonts w:cs="Arial"/>
          <w:lang w:val="en-US"/>
        </w:rPr>
        <w:t xml:space="preserve">, which </w:t>
      </w:r>
      <w:r w:rsidR="009D4D45" w:rsidRPr="006710FB">
        <w:rPr>
          <w:rFonts w:cs="Arial"/>
          <w:lang w:val="en-US"/>
        </w:rPr>
        <w:t xml:space="preserve">is </w:t>
      </w:r>
      <w:r w:rsidR="001338A7" w:rsidRPr="006710FB">
        <w:rPr>
          <w:rFonts w:cs="Arial"/>
          <w:lang w:val="en-US"/>
        </w:rPr>
        <w:t>inconsistent with the right to freedom of association</w:t>
      </w:r>
      <w:r w:rsidR="00B0610E" w:rsidRPr="006710FB">
        <w:rPr>
          <w:rFonts w:cs="Arial"/>
          <w:lang w:val="en-US"/>
        </w:rPr>
        <w:t>.</w:t>
      </w:r>
      <w:r w:rsidR="00CF036E" w:rsidRPr="006710FB">
        <w:rPr>
          <w:rFonts w:cs="Arial"/>
          <w:lang w:val="en-US"/>
        </w:rPr>
        <w:t xml:space="preserve"> </w:t>
      </w:r>
      <w:r w:rsidR="00B0610E" w:rsidRPr="006710FB">
        <w:rPr>
          <w:rFonts w:cs="Arial"/>
          <w:lang w:val="en-US"/>
        </w:rPr>
        <w:t>This</w:t>
      </w:r>
      <w:r w:rsidRPr="006710FB">
        <w:rPr>
          <w:rFonts w:cs="Arial"/>
          <w:lang w:val="en-US"/>
        </w:rPr>
        <w:t xml:space="preserve">, in turn, allows the authorities to stifle the operations of </w:t>
      </w:r>
      <w:r w:rsidR="00CF036E" w:rsidRPr="006710FB">
        <w:rPr>
          <w:rFonts w:cs="Arial"/>
          <w:lang w:val="en-US"/>
        </w:rPr>
        <w:t xml:space="preserve">NGOs </w:t>
      </w:r>
      <w:r w:rsidRPr="006710FB">
        <w:rPr>
          <w:rFonts w:cs="Arial"/>
          <w:lang w:val="en-US"/>
        </w:rPr>
        <w:t>which are critical of government</w:t>
      </w:r>
      <w:r w:rsidR="00B0610E" w:rsidRPr="006710FB">
        <w:rPr>
          <w:rFonts w:cs="Arial"/>
          <w:lang w:val="en-US"/>
        </w:rPr>
        <w:t>, which call for greater transparency and accountability,</w:t>
      </w:r>
      <w:r w:rsidR="009D4D45" w:rsidRPr="006710FB">
        <w:rPr>
          <w:rFonts w:cs="Arial"/>
          <w:lang w:val="en-US"/>
        </w:rPr>
        <w:t xml:space="preserve"> </w:t>
      </w:r>
      <w:r w:rsidR="009D4D45" w:rsidRPr="006710FB">
        <w:rPr>
          <w:rFonts w:cs="Arial"/>
          <w:lang w:val="en-GB"/>
        </w:rPr>
        <w:t>and/</w:t>
      </w:r>
      <w:r w:rsidRPr="006710FB">
        <w:rPr>
          <w:rFonts w:cs="Arial"/>
          <w:lang w:val="en-US"/>
        </w:rPr>
        <w:t xml:space="preserve">or which are otherwise deemed to be a hindrance. </w:t>
      </w:r>
      <w:r w:rsidR="00CF036E" w:rsidRPr="006710FB">
        <w:rPr>
          <w:rFonts w:cs="Arial"/>
          <w:lang w:val="en-US"/>
        </w:rPr>
        <w:t xml:space="preserve">NGOs are required to register </w:t>
      </w:r>
      <w:r w:rsidR="00173EA1" w:rsidRPr="006710FB">
        <w:rPr>
          <w:rFonts w:cs="Arial"/>
          <w:lang w:val="en-US"/>
        </w:rPr>
        <w:t xml:space="preserve">as legal entities </w:t>
      </w:r>
      <w:r w:rsidR="00CF036E" w:rsidRPr="006710FB">
        <w:rPr>
          <w:rFonts w:cs="Arial"/>
          <w:lang w:val="en-US"/>
        </w:rPr>
        <w:t xml:space="preserve">with the </w:t>
      </w:r>
      <w:proofErr w:type="spellStart"/>
      <w:r w:rsidR="00CF036E" w:rsidRPr="006710FB">
        <w:rPr>
          <w:rFonts w:cs="Arial"/>
          <w:lang w:val="en-US"/>
        </w:rPr>
        <w:t>MoJ</w:t>
      </w:r>
      <w:proofErr w:type="spellEnd"/>
      <w:r w:rsidR="00CF036E" w:rsidRPr="006710FB">
        <w:rPr>
          <w:rFonts w:cs="Arial"/>
          <w:lang w:val="en-US"/>
        </w:rPr>
        <w:t xml:space="preserve"> which</w:t>
      </w:r>
      <w:r w:rsidR="001338A7" w:rsidRPr="006710FB">
        <w:rPr>
          <w:rFonts w:cs="Arial"/>
          <w:lang w:val="en-US"/>
        </w:rPr>
        <w:t>, in Azerbaijan,</w:t>
      </w:r>
      <w:r w:rsidR="00CF036E" w:rsidRPr="006710FB">
        <w:rPr>
          <w:rFonts w:cs="Arial"/>
          <w:lang w:val="en-US"/>
        </w:rPr>
        <w:t xml:space="preserve"> is an excessively bureaucratic process with ample opportunit</w:t>
      </w:r>
      <w:r w:rsidR="00EE231F" w:rsidRPr="006710FB">
        <w:rPr>
          <w:rFonts w:cs="Arial"/>
          <w:lang w:val="en-US"/>
        </w:rPr>
        <w:t>ies for officials to interfere, not only at the initial point of registration but also over time, in the form of compliance checks.</w:t>
      </w:r>
      <w:r w:rsidR="00A743FA" w:rsidRPr="006710FB">
        <w:rPr>
          <w:rFonts w:cs="Arial"/>
          <w:lang w:val="en-US"/>
        </w:rPr>
        <w:t xml:space="preserve"> The </w:t>
      </w:r>
      <w:proofErr w:type="spellStart"/>
      <w:r w:rsidR="00A743FA" w:rsidRPr="006710FB">
        <w:rPr>
          <w:rFonts w:cs="Arial"/>
          <w:lang w:val="en-US"/>
        </w:rPr>
        <w:t>MoJ</w:t>
      </w:r>
      <w:proofErr w:type="spellEnd"/>
      <w:r w:rsidR="00A743FA" w:rsidRPr="006710FB">
        <w:rPr>
          <w:rFonts w:cs="Arial"/>
          <w:lang w:val="en-US"/>
        </w:rPr>
        <w:t xml:space="preserve"> has extensive powers to monitor compliance with the law and, after it has issued two warnings to an NGO</w:t>
      </w:r>
      <w:r w:rsidR="00B0610E" w:rsidRPr="006710FB">
        <w:rPr>
          <w:rFonts w:cs="Arial"/>
          <w:lang w:val="en-US"/>
        </w:rPr>
        <w:t xml:space="preserve"> for alleged breaches of the law</w:t>
      </w:r>
      <w:r w:rsidR="00A743FA" w:rsidRPr="006710FB">
        <w:rPr>
          <w:rFonts w:cs="Arial"/>
          <w:lang w:val="en-US"/>
        </w:rPr>
        <w:t>, it can file a case in co</w:t>
      </w:r>
      <w:r w:rsidR="00173EA1" w:rsidRPr="006710FB">
        <w:rPr>
          <w:rFonts w:cs="Arial"/>
          <w:lang w:val="en-US"/>
        </w:rPr>
        <w:t>urt to have the NGO closed down.</w:t>
      </w:r>
    </w:p>
    <w:p w:rsidR="00EE231F" w:rsidRPr="006710FB" w:rsidRDefault="00EE231F" w:rsidP="00945837">
      <w:pPr>
        <w:spacing w:after="0" w:line="240" w:lineRule="auto"/>
        <w:jc w:val="both"/>
        <w:rPr>
          <w:rFonts w:cs="Arial"/>
          <w:lang w:val="en-US"/>
        </w:rPr>
      </w:pPr>
    </w:p>
    <w:p w:rsidR="00412BCA" w:rsidRPr="006710FB" w:rsidRDefault="00B0610E" w:rsidP="00945837">
      <w:pPr>
        <w:spacing w:after="0" w:line="240" w:lineRule="auto"/>
        <w:jc w:val="both"/>
        <w:rPr>
          <w:rFonts w:cs="Arial"/>
          <w:lang w:val="en-US"/>
        </w:rPr>
      </w:pPr>
      <w:r w:rsidRPr="006710FB">
        <w:rPr>
          <w:rFonts w:cs="Arial"/>
          <w:lang w:val="en-US"/>
        </w:rPr>
        <w:t xml:space="preserve">In practice, </w:t>
      </w:r>
      <w:r w:rsidR="001338A7" w:rsidRPr="006710FB">
        <w:rPr>
          <w:rFonts w:cs="Arial"/>
          <w:lang w:val="en-US"/>
        </w:rPr>
        <w:t>many</w:t>
      </w:r>
      <w:r w:rsidR="00116B37" w:rsidRPr="006710FB">
        <w:rPr>
          <w:rFonts w:cs="Arial"/>
          <w:lang w:val="en-US"/>
        </w:rPr>
        <w:t xml:space="preserve"> NGOs </w:t>
      </w:r>
      <w:r w:rsidR="001338A7" w:rsidRPr="006710FB">
        <w:rPr>
          <w:rFonts w:cs="Arial"/>
          <w:lang w:val="en-US"/>
        </w:rPr>
        <w:t xml:space="preserve">which have applied </w:t>
      </w:r>
      <w:r w:rsidR="00116B37" w:rsidRPr="006710FB">
        <w:rPr>
          <w:rFonts w:cs="Arial"/>
          <w:lang w:val="en-US"/>
        </w:rPr>
        <w:t>have been una</w:t>
      </w:r>
      <w:r w:rsidRPr="006710FB">
        <w:rPr>
          <w:rFonts w:cs="Arial"/>
          <w:lang w:val="en-US"/>
        </w:rPr>
        <w:t>ble to register</w:t>
      </w:r>
      <w:r w:rsidR="001338A7" w:rsidRPr="006710FB">
        <w:rPr>
          <w:rFonts w:cs="Arial"/>
          <w:lang w:val="en-US"/>
        </w:rPr>
        <w:t>.</w:t>
      </w:r>
      <w:r w:rsidR="00481618" w:rsidRPr="006710FB">
        <w:rPr>
          <w:rStyle w:val="FootnoteReference"/>
          <w:rFonts w:cs="Arial"/>
          <w:lang w:val="en-US"/>
        </w:rPr>
        <w:footnoteReference w:id="5"/>
      </w:r>
      <w:r w:rsidR="00116B37" w:rsidRPr="006710FB">
        <w:rPr>
          <w:rFonts w:cs="Arial"/>
          <w:lang w:val="en-US"/>
        </w:rPr>
        <w:t xml:space="preserve"> </w:t>
      </w:r>
      <w:r w:rsidR="001338A7" w:rsidRPr="006710FB">
        <w:rPr>
          <w:rFonts w:cs="Arial"/>
          <w:lang w:val="en-US"/>
        </w:rPr>
        <w:t>A</w:t>
      </w:r>
      <w:r w:rsidRPr="006710FB">
        <w:rPr>
          <w:rFonts w:cs="Arial"/>
          <w:lang w:val="en-US"/>
        </w:rPr>
        <w:t xml:space="preserve"> number of examples of </w:t>
      </w:r>
      <w:r w:rsidR="005F4EE8" w:rsidRPr="006710FB">
        <w:rPr>
          <w:rFonts w:cs="Arial"/>
          <w:lang w:val="en-US"/>
        </w:rPr>
        <w:t xml:space="preserve">other forms of </w:t>
      </w:r>
      <w:r w:rsidRPr="006710FB">
        <w:rPr>
          <w:rFonts w:cs="Arial"/>
          <w:lang w:val="en-US"/>
        </w:rPr>
        <w:t xml:space="preserve">interference are provided in the Annex. </w:t>
      </w:r>
      <w:r w:rsidR="00116B37" w:rsidRPr="006710FB">
        <w:rPr>
          <w:rFonts w:cs="Arial"/>
          <w:lang w:val="en-US"/>
        </w:rPr>
        <w:t>A 2012 study conducted by the NGO Democracy Learning Public Union found that registering an NGO took a year or longer for 57% of those surveyed.</w:t>
      </w:r>
      <w:r w:rsidR="001338A7" w:rsidRPr="006710FB">
        <w:rPr>
          <w:rStyle w:val="FootnoteReference"/>
          <w:rFonts w:cs="Arial"/>
          <w:lang w:val="en-US"/>
        </w:rPr>
        <w:footnoteReference w:id="6"/>
      </w:r>
      <w:r w:rsidR="00A743FA" w:rsidRPr="006710FB">
        <w:rPr>
          <w:rFonts w:cs="Arial"/>
          <w:lang w:val="en-US"/>
        </w:rPr>
        <w:t xml:space="preserve"> Since then, things have gotten considerably worse. </w:t>
      </w:r>
    </w:p>
    <w:p w:rsidR="003A4582" w:rsidRPr="006710FB" w:rsidRDefault="003A4582" w:rsidP="003A4582">
      <w:pPr>
        <w:spacing w:after="0" w:line="240" w:lineRule="auto"/>
        <w:jc w:val="both"/>
        <w:rPr>
          <w:rFonts w:cs="Arial"/>
          <w:lang w:val="en-US"/>
        </w:rPr>
      </w:pPr>
    </w:p>
    <w:p w:rsidR="003A4582" w:rsidRPr="006710FB" w:rsidRDefault="003A4582" w:rsidP="003A4582">
      <w:pPr>
        <w:spacing w:after="0" w:line="240" w:lineRule="auto"/>
        <w:jc w:val="both"/>
        <w:rPr>
          <w:rFonts w:cs="Arial"/>
          <w:lang w:val="en-US"/>
        </w:rPr>
      </w:pPr>
      <w:r w:rsidRPr="006710FB">
        <w:rPr>
          <w:rFonts w:cs="Arial"/>
          <w:lang w:val="en-US"/>
        </w:rPr>
        <w:t xml:space="preserve">A number of these measures directly target the work of INGOs in Azerbaijan. Given the dependence of many local groups on funding and other forms of support from INGOs, these measures have a direct impact on local civil society. </w:t>
      </w:r>
      <w:proofErr w:type="gramStart"/>
      <w:r w:rsidRPr="006710FB">
        <w:rPr>
          <w:rFonts w:cs="Arial"/>
          <w:lang w:val="en-US"/>
        </w:rPr>
        <w:t>The February 2014 Amendments extended all of the rules in the NGO law to INGOs, whereas previously only selected rules applied to them.</w:t>
      </w:r>
      <w:proofErr w:type="gramEnd"/>
      <w:r w:rsidRPr="006710FB">
        <w:rPr>
          <w:rFonts w:cs="Arial"/>
          <w:lang w:val="en-US"/>
        </w:rPr>
        <w:t xml:space="preserve"> </w:t>
      </w:r>
      <w:r w:rsidR="00173EA1" w:rsidRPr="006710FB">
        <w:rPr>
          <w:rFonts w:cs="Arial"/>
          <w:lang w:val="en-US"/>
        </w:rPr>
        <w:t>A</w:t>
      </w:r>
      <w:r w:rsidR="005F4EE8" w:rsidRPr="006710FB">
        <w:rPr>
          <w:rFonts w:cs="Arial"/>
          <w:lang w:val="en-US"/>
        </w:rPr>
        <w:t>s a result, a</w:t>
      </w:r>
      <w:r w:rsidRPr="006710FB">
        <w:rPr>
          <w:rFonts w:cs="Arial"/>
          <w:lang w:val="en-US"/>
        </w:rPr>
        <w:t xml:space="preserve"> </w:t>
      </w:r>
      <w:r w:rsidR="00E848A8" w:rsidRPr="006710FB">
        <w:rPr>
          <w:rFonts w:cs="Arial"/>
          <w:lang w:val="en-US"/>
        </w:rPr>
        <w:t xml:space="preserve">significant </w:t>
      </w:r>
      <w:r w:rsidRPr="006710FB">
        <w:rPr>
          <w:rFonts w:cs="Arial"/>
          <w:lang w:val="en-US"/>
        </w:rPr>
        <w:t xml:space="preserve">number of </w:t>
      </w:r>
      <w:r w:rsidR="00173EA1" w:rsidRPr="006710FB">
        <w:rPr>
          <w:rFonts w:cs="Arial"/>
          <w:lang w:val="en-US"/>
        </w:rPr>
        <w:t xml:space="preserve">INGOs have </w:t>
      </w:r>
      <w:r w:rsidRPr="006710FB">
        <w:rPr>
          <w:rFonts w:cs="Arial"/>
          <w:lang w:val="en-US"/>
        </w:rPr>
        <w:t>been forced to leave the country.</w:t>
      </w:r>
      <w:r w:rsidRPr="006710FB">
        <w:rPr>
          <w:rStyle w:val="FootnoteReference"/>
          <w:rFonts w:cs="Arial"/>
          <w:lang w:val="en-US"/>
        </w:rPr>
        <w:footnoteReference w:id="7"/>
      </w:r>
      <w:r w:rsidRPr="006710FB">
        <w:rPr>
          <w:rFonts w:cs="Arial"/>
          <w:lang w:val="en-US"/>
        </w:rPr>
        <w:t xml:space="preserve"> </w:t>
      </w:r>
      <w:r w:rsidR="00E848A8" w:rsidRPr="006710FB">
        <w:rPr>
          <w:rFonts w:cs="Arial"/>
          <w:lang w:val="en-US"/>
        </w:rPr>
        <w:t>While most do not wish to have this fact publicized, media report</w:t>
      </w:r>
      <w:r w:rsidR="005F4EE8" w:rsidRPr="006710FB">
        <w:rPr>
          <w:rFonts w:cs="Arial"/>
          <w:lang w:val="en-US"/>
        </w:rPr>
        <w:t>s indicate</w:t>
      </w:r>
      <w:r w:rsidR="00E848A8" w:rsidRPr="006710FB">
        <w:rPr>
          <w:rFonts w:cs="Arial"/>
          <w:lang w:val="en-US"/>
        </w:rPr>
        <w:t xml:space="preserve"> that t</w:t>
      </w:r>
      <w:r w:rsidRPr="006710FB">
        <w:rPr>
          <w:rFonts w:cs="Arial"/>
          <w:lang w:val="en-US"/>
        </w:rPr>
        <w:t>he US National Democratic Institute ceased operations in March 2014 and formally closed in July, reportedly after the authorities accused it of financing youth subversion against the government.</w:t>
      </w:r>
      <w:r w:rsidRPr="006710FB">
        <w:rPr>
          <w:rFonts w:cs="Arial"/>
          <w:vertAlign w:val="superscript"/>
          <w:lang w:val="en-US"/>
        </w:rPr>
        <w:footnoteReference w:id="8"/>
      </w:r>
    </w:p>
    <w:p w:rsidR="00697591" w:rsidRPr="006710FB" w:rsidRDefault="00697591" w:rsidP="00945837">
      <w:pPr>
        <w:spacing w:after="0" w:line="240" w:lineRule="auto"/>
        <w:jc w:val="both"/>
        <w:rPr>
          <w:rFonts w:cs="Arial"/>
          <w:lang w:val="en-US"/>
        </w:rPr>
      </w:pPr>
    </w:p>
    <w:p w:rsidR="00697591" w:rsidRPr="006710FB" w:rsidRDefault="00435184" w:rsidP="00945837">
      <w:pPr>
        <w:spacing w:after="0" w:line="240" w:lineRule="auto"/>
        <w:jc w:val="both"/>
        <w:rPr>
          <w:rFonts w:cs="Arial"/>
          <w:lang w:val="en-US"/>
        </w:rPr>
      </w:pPr>
      <w:r w:rsidRPr="006710FB">
        <w:rPr>
          <w:rFonts w:cs="Arial"/>
          <w:lang w:val="en-US"/>
        </w:rPr>
        <w:t>Among other changes, t</w:t>
      </w:r>
      <w:r w:rsidR="00697591" w:rsidRPr="006710FB">
        <w:rPr>
          <w:rFonts w:cs="Arial"/>
          <w:lang w:val="en-US"/>
        </w:rPr>
        <w:t xml:space="preserve">he February 2014 Amendments established higher penalties for violating various laws, including banning or suspending an NGO and </w:t>
      </w:r>
      <w:r w:rsidR="005F4EE8" w:rsidRPr="006710FB">
        <w:rPr>
          <w:rFonts w:cs="Arial"/>
          <w:lang w:val="en-US"/>
        </w:rPr>
        <w:t xml:space="preserve">imposing </w:t>
      </w:r>
      <w:r w:rsidR="00697591" w:rsidRPr="006710FB">
        <w:rPr>
          <w:rFonts w:cs="Arial"/>
          <w:lang w:val="en-US"/>
        </w:rPr>
        <w:t xml:space="preserve">heavy fines for </w:t>
      </w:r>
      <w:r w:rsidR="005F4EE8" w:rsidRPr="006710FB">
        <w:rPr>
          <w:rFonts w:cs="Arial"/>
          <w:lang w:val="en-US"/>
        </w:rPr>
        <w:t xml:space="preserve">breach of </w:t>
      </w:r>
      <w:r w:rsidR="00697591" w:rsidRPr="006710FB">
        <w:rPr>
          <w:rFonts w:cs="Arial"/>
          <w:lang w:val="en-US"/>
        </w:rPr>
        <w:t>the many onerous administrative obligations</w:t>
      </w:r>
      <w:r w:rsidR="005F4EE8" w:rsidRPr="006710FB">
        <w:rPr>
          <w:rFonts w:cs="Arial"/>
          <w:lang w:val="en-US"/>
        </w:rPr>
        <w:t xml:space="preserve"> facing NGOs</w:t>
      </w:r>
      <w:r w:rsidR="00697591" w:rsidRPr="006710FB">
        <w:rPr>
          <w:rFonts w:cs="Arial"/>
          <w:lang w:val="en-US"/>
        </w:rPr>
        <w:t xml:space="preserve">. These include vague actions such as violating their members’ rights, creating obstacles to addressing emergency situations and </w:t>
      </w:r>
      <w:r w:rsidRPr="006710FB">
        <w:rPr>
          <w:rFonts w:cs="Arial"/>
          <w:lang w:val="en-US"/>
        </w:rPr>
        <w:t>“</w:t>
      </w:r>
      <w:r w:rsidR="00697591" w:rsidRPr="006710FB">
        <w:rPr>
          <w:rFonts w:cs="Arial"/>
          <w:lang w:val="en-US"/>
        </w:rPr>
        <w:t xml:space="preserve">illegal </w:t>
      </w:r>
      <w:r w:rsidRPr="006710FB">
        <w:rPr>
          <w:rFonts w:cs="Arial"/>
          <w:lang w:val="en-US"/>
        </w:rPr>
        <w:t>entrepreneurship”</w:t>
      </w:r>
      <w:r w:rsidR="00697591" w:rsidRPr="006710FB">
        <w:rPr>
          <w:rFonts w:cs="Arial"/>
          <w:lang w:val="en-US"/>
        </w:rPr>
        <w:t xml:space="preserve">, </w:t>
      </w:r>
      <w:r w:rsidR="005F4EE8" w:rsidRPr="006710FB">
        <w:rPr>
          <w:rFonts w:cs="Arial"/>
          <w:lang w:val="en-US"/>
        </w:rPr>
        <w:t xml:space="preserve">all of </w:t>
      </w:r>
      <w:r w:rsidR="00697591" w:rsidRPr="006710FB">
        <w:rPr>
          <w:rFonts w:cs="Arial"/>
          <w:lang w:val="en-US"/>
        </w:rPr>
        <w:t xml:space="preserve">which would be unlikely to pass the ‘provided by law’ part of the test for </w:t>
      </w:r>
      <w:r w:rsidR="005F4EE8" w:rsidRPr="006710FB">
        <w:rPr>
          <w:rFonts w:cs="Arial"/>
          <w:lang w:val="en-US"/>
        </w:rPr>
        <w:lastRenderedPageBreak/>
        <w:t xml:space="preserve">assessing the legitimacy of </w:t>
      </w:r>
      <w:r w:rsidR="00697591" w:rsidRPr="006710FB">
        <w:rPr>
          <w:rFonts w:cs="Arial"/>
          <w:lang w:val="en-US"/>
        </w:rPr>
        <w:t xml:space="preserve">restrictions on freedom of association. In the former case, a complaint by </w:t>
      </w:r>
      <w:r w:rsidR="00173EA1" w:rsidRPr="006710FB">
        <w:rPr>
          <w:rFonts w:cs="Arial"/>
          <w:lang w:val="en-US"/>
        </w:rPr>
        <w:t>two</w:t>
      </w:r>
      <w:r w:rsidR="00697591" w:rsidRPr="006710FB">
        <w:rPr>
          <w:rFonts w:cs="Arial"/>
          <w:lang w:val="en-US"/>
        </w:rPr>
        <w:t xml:space="preserve"> member</w:t>
      </w:r>
      <w:r w:rsidR="00173EA1" w:rsidRPr="006710FB">
        <w:rPr>
          <w:rFonts w:cs="Arial"/>
          <w:lang w:val="en-US"/>
        </w:rPr>
        <w:t>s</w:t>
      </w:r>
      <w:r w:rsidR="00697591" w:rsidRPr="006710FB">
        <w:rPr>
          <w:rFonts w:cs="Arial"/>
          <w:lang w:val="en-US"/>
        </w:rPr>
        <w:t xml:space="preserve"> is enough to trigger a court action.</w:t>
      </w:r>
    </w:p>
    <w:p w:rsidR="00412BCA" w:rsidRPr="006710FB" w:rsidRDefault="00412BCA" w:rsidP="00945837">
      <w:pPr>
        <w:spacing w:after="0" w:line="240" w:lineRule="auto"/>
        <w:jc w:val="both"/>
        <w:rPr>
          <w:rFonts w:cs="Arial"/>
          <w:lang w:val="en-US"/>
        </w:rPr>
      </w:pPr>
    </w:p>
    <w:p w:rsidR="00412BCA" w:rsidRPr="006710FB" w:rsidRDefault="00412BCA" w:rsidP="00945837">
      <w:pPr>
        <w:spacing w:after="0" w:line="240" w:lineRule="auto"/>
        <w:jc w:val="both"/>
        <w:rPr>
          <w:rFonts w:cs="Arial"/>
          <w:b/>
          <w:lang w:val="en-US"/>
        </w:rPr>
      </w:pPr>
      <w:r w:rsidRPr="006710FB">
        <w:rPr>
          <w:rFonts w:cs="Arial"/>
          <w:b/>
          <w:lang w:val="en-US"/>
        </w:rPr>
        <w:t xml:space="preserve">Government Control over </w:t>
      </w:r>
      <w:r w:rsidR="00CF036E" w:rsidRPr="006710FB">
        <w:rPr>
          <w:rFonts w:cs="Arial"/>
          <w:b/>
          <w:lang w:val="en-US"/>
        </w:rPr>
        <w:t xml:space="preserve">NGO </w:t>
      </w:r>
      <w:r w:rsidRPr="006710FB">
        <w:rPr>
          <w:rFonts w:cs="Arial"/>
          <w:b/>
          <w:lang w:val="en-US"/>
        </w:rPr>
        <w:t>Finances</w:t>
      </w:r>
    </w:p>
    <w:p w:rsidR="00116B37" w:rsidRPr="006710FB" w:rsidRDefault="00116B37" w:rsidP="00945837">
      <w:pPr>
        <w:spacing w:after="0" w:line="240" w:lineRule="auto"/>
        <w:jc w:val="both"/>
        <w:rPr>
          <w:rFonts w:cs="Arial"/>
          <w:lang w:val="en-US"/>
        </w:rPr>
      </w:pPr>
    </w:p>
    <w:p w:rsidR="00571A78" w:rsidRPr="006710FB" w:rsidRDefault="0013772C" w:rsidP="00116B37">
      <w:pPr>
        <w:spacing w:after="0" w:line="240" w:lineRule="auto"/>
        <w:jc w:val="both"/>
        <w:rPr>
          <w:rFonts w:cs="Arial"/>
          <w:lang w:val="en-US"/>
        </w:rPr>
      </w:pPr>
      <w:r w:rsidRPr="006710FB">
        <w:rPr>
          <w:rFonts w:cs="Arial"/>
          <w:lang w:val="en-US"/>
        </w:rPr>
        <w:t xml:space="preserve">The rules also give the authorities extensive powers over NGO finances. According to the new rules, both organizational and individual recipients of </w:t>
      </w:r>
      <w:r w:rsidR="00C21D78" w:rsidRPr="006710FB">
        <w:rPr>
          <w:rFonts w:cs="Arial"/>
          <w:lang w:val="en-US"/>
        </w:rPr>
        <w:t>grants must register those</w:t>
      </w:r>
      <w:r w:rsidRPr="006710FB">
        <w:rPr>
          <w:rFonts w:cs="Arial"/>
          <w:lang w:val="en-US"/>
        </w:rPr>
        <w:t xml:space="preserve"> grants with the </w:t>
      </w:r>
      <w:proofErr w:type="spellStart"/>
      <w:r w:rsidRPr="006710FB">
        <w:rPr>
          <w:rFonts w:cs="Arial"/>
          <w:lang w:val="en-US"/>
        </w:rPr>
        <w:t>MoJ</w:t>
      </w:r>
      <w:proofErr w:type="spellEnd"/>
      <w:r w:rsidRPr="006710FB">
        <w:rPr>
          <w:rFonts w:cs="Arial"/>
          <w:lang w:val="en-US"/>
        </w:rPr>
        <w:t xml:space="preserve">. Sub-grants and any amendments to grants also need to be registered. </w:t>
      </w:r>
      <w:r w:rsidR="00571A78" w:rsidRPr="006710FB">
        <w:rPr>
          <w:rFonts w:cs="Arial"/>
          <w:lang w:val="en-US"/>
        </w:rPr>
        <w:t xml:space="preserve">The </w:t>
      </w:r>
      <w:r w:rsidR="00173EA1" w:rsidRPr="006710FB">
        <w:rPr>
          <w:rFonts w:cs="Arial"/>
          <w:lang w:val="en-US"/>
        </w:rPr>
        <w:t xml:space="preserve">old </w:t>
      </w:r>
      <w:r w:rsidR="00571A78" w:rsidRPr="006710FB">
        <w:rPr>
          <w:rFonts w:cs="Arial"/>
          <w:lang w:val="en-US"/>
        </w:rPr>
        <w:t xml:space="preserve">procedure for registering grants </w:t>
      </w:r>
      <w:r w:rsidR="005F4EE8" w:rsidRPr="006710FB">
        <w:rPr>
          <w:rFonts w:cs="Arial"/>
          <w:lang w:val="en-US"/>
        </w:rPr>
        <w:t>was</w:t>
      </w:r>
      <w:r w:rsidR="00571A78" w:rsidRPr="006710FB">
        <w:rPr>
          <w:rFonts w:cs="Arial"/>
          <w:lang w:val="en-US"/>
        </w:rPr>
        <w:t xml:space="preserve"> very bureaucratic and</w:t>
      </w:r>
      <w:r w:rsidR="00473BEA" w:rsidRPr="006710FB">
        <w:rPr>
          <w:rFonts w:cs="Arial"/>
          <w:lang w:val="en-US"/>
        </w:rPr>
        <w:t>, among other things,</w:t>
      </w:r>
      <w:r w:rsidR="005F4EE8" w:rsidRPr="006710FB">
        <w:rPr>
          <w:rFonts w:cs="Arial"/>
          <w:lang w:val="en-US"/>
        </w:rPr>
        <w:t xml:space="preserve"> required</w:t>
      </w:r>
      <w:r w:rsidR="00571A78" w:rsidRPr="006710FB">
        <w:rPr>
          <w:rFonts w:cs="Arial"/>
          <w:lang w:val="en-US"/>
        </w:rPr>
        <w:t xml:space="preserve"> grants to be translated into Azeri</w:t>
      </w:r>
      <w:r w:rsidR="00473BEA" w:rsidRPr="006710FB">
        <w:rPr>
          <w:rFonts w:cs="Arial"/>
          <w:lang w:val="en-US"/>
        </w:rPr>
        <w:t>,</w:t>
      </w:r>
      <w:r w:rsidR="00571A78" w:rsidRPr="006710FB">
        <w:rPr>
          <w:rFonts w:cs="Arial"/>
          <w:lang w:val="en-US"/>
        </w:rPr>
        <w:t xml:space="preserve"> and both the donor and grantee to </w:t>
      </w:r>
      <w:r w:rsidR="00473BEA" w:rsidRPr="006710FB">
        <w:rPr>
          <w:rFonts w:cs="Arial"/>
          <w:lang w:val="en-US"/>
        </w:rPr>
        <w:t>sign each page, which also need</w:t>
      </w:r>
      <w:r w:rsidR="005F4EE8" w:rsidRPr="006710FB">
        <w:rPr>
          <w:rFonts w:cs="Arial"/>
          <w:lang w:val="en-US"/>
        </w:rPr>
        <w:t>ed</w:t>
      </w:r>
      <w:r w:rsidR="00571A78" w:rsidRPr="006710FB">
        <w:rPr>
          <w:rFonts w:cs="Arial"/>
          <w:lang w:val="en-US"/>
        </w:rPr>
        <w:t xml:space="preserve"> to be notarized</w:t>
      </w:r>
      <w:r w:rsidR="005F4EE8" w:rsidRPr="006710FB">
        <w:rPr>
          <w:rFonts w:cs="Arial"/>
          <w:lang w:val="en-US"/>
        </w:rPr>
        <w:t>. T</w:t>
      </w:r>
      <w:r w:rsidR="00173EA1" w:rsidRPr="006710FB">
        <w:rPr>
          <w:rFonts w:cs="Arial"/>
          <w:lang w:val="en-US"/>
        </w:rPr>
        <w:t>he details for the new grant registration procedures have not yet been adopted</w:t>
      </w:r>
      <w:r w:rsidR="00571A78" w:rsidRPr="006710FB">
        <w:rPr>
          <w:rFonts w:cs="Arial"/>
          <w:lang w:val="en-US"/>
        </w:rPr>
        <w:t>.</w:t>
      </w:r>
    </w:p>
    <w:p w:rsidR="00571A78" w:rsidRPr="006710FB" w:rsidRDefault="00571A78" w:rsidP="00116B37">
      <w:pPr>
        <w:spacing w:after="0" w:line="240" w:lineRule="auto"/>
        <w:jc w:val="both"/>
        <w:rPr>
          <w:rFonts w:cs="Arial"/>
          <w:lang w:val="en-US"/>
        </w:rPr>
      </w:pPr>
    </w:p>
    <w:p w:rsidR="00571A78" w:rsidRPr="006710FB" w:rsidRDefault="00435184" w:rsidP="00116B37">
      <w:pPr>
        <w:spacing w:after="0" w:line="240" w:lineRule="auto"/>
        <w:jc w:val="both"/>
        <w:rPr>
          <w:rFonts w:cs="Arial"/>
          <w:lang w:val="en-US"/>
        </w:rPr>
      </w:pPr>
      <w:r w:rsidRPr="006710FB">
        <w:rPr>
          <w:rFonts w:cs="Arial"/>
          <w:lang w:val="en-US"/>
        </w:rPr>
        <w:t>Each individual grant</w:t>
      </w:r>
      <w:r w:rsidR="0013772C" w:rsidRPr="006710FB">
        <w:rPr>
          <w:rFonts w:cs="Arial"/>
          <w:lang w:val="en-US"/>
        </w:rPr>
        <w:t xml:space="preserve"> need</w:t>
      </w:r>
      <w:r w:rsidRPr="006710FB">
        <w:rPr>
          <w:rFonts w:cs="Arial"/>
          <w:lang w:val="en-US"/>
        </w:rPr>
        <w:t>s</w:t>
      </w:r>
      <w:r w:rsidR="0013772C" w:rsidRPr="006710FB">
        <w:rPr>
          <w:rFonts w:cs="Arial"/>
          <w:lang w:val="en-US"/>
        </w:rPr>
        <w:t xml:space="preserve"> to be approved, which requires an opinion by the relevant State body (i.e. the State body with responsibility in the proposed area of work of the grant) </w:t>
      </w:r>
      <w:r w:rsidR="00473BEA" w:rsidRPr="006710FB">
        <w:rPr>
          <w:rFonts w:cs="Arial"/>
          <w:lang w:val="en-US"/>
        </w:rPr>
        <w:t xml:space="preserve">to the effect </w:t>
      </w:r>
      <w:r w:rsidR="0013772C" w:rsidRPr="006710FB">
        <w:rPr>
          <w:rFonts w:cs="Arial"/>
          <w:lang w:val="en-US"/>
        </w:rPr>
        <w:t xml:space="preserve">that the grant is expedient for Azerbaijan, which provides </w:t>
      </w:r>
      <w:r w:rsidR="005F4EE8" w:rsidRPr="006710FB">
        <w:rPr>
          <w:rFonts w:cs="Arial"/>
          <w:lang w:val="en-US"/>
        </w:rPr>
        <w:t xml:space="preserve">State actors with </w:t>
      </w:r>
      <w:r w:rsidR="0013772C" w:rsidRPr="006710FB">
        <w:rPr>
          <w:rFonts w:cs="Arial"/>
          <w:lang w:val="en-US"/>
        </w:rPr>
        <w:t xml:space="preserve">almost unlimited discretion to block grants. </w:t>
      </w:r>
      <w:r w:rsidR="00571A78" w:rsidRPr="006710FB">
        <w:rPr>
          <w:rFonts w:cs="Arial"/>
          <w:lang w:val="en-US"/>
        </w:rPr>
        <w:t>S</w:t>
      </w:r>
      <w:r w:rsidR="00116B37" w:rsidRPr="006710FB">
        <w:rPr>
          <w:rFonts w:cs="Arial"/>
          <w:lang w:val="en-US"/>
        </w:rPr>
        <w:t xml:space="preserve">ince May 2014, </w:t>
      </w:r>
      <w:r w:rsidR="0013772C" w:rsidRPr="006710FB">
        <w:rPr>
          <w:rFonts w:cs="Arial"/>
          <w:lang w:val="en-US"/>
        </w:rPr>
        <w:t xml:space="preserve">the </w:t>
      </w:r>
      <w:proofErr w:type="spellStart"/>
      <w:r w:rsidR="00571A78" w:rsidRPr="006710FB">
        <w:rPr>
          <w:rFonts w:cs="Arial"/>
          <w:lang w:val="en-US"/>
        </w:rPr>
        <w:t>MoJ</w:t>
      </w:r>
      <w:proofErr w:type="spellEnd"/>
      <w:r w:rsidR="00571A78" w:rsidRPr="006710FB">
        <w:rPr>
          <w:rFonts w:cs="Arial"/>
          <w:lang w:val="en-US"/>
        </w:rPr>
        <w:t xml:space="preserve"> has </w:t>
      </w:r>
      <w:r w:rsidR="00473BEA" w:rsidRPr="006710FB">
        <w:rPr>
          <w:rFonts w:cs="Arial"/>
          <w:lang w:val="en-US"/>
        </w:rPr>
        <w:t xml:space="preserve">in practice </w:t>
      </w:r>
      <w:r w:rsidRPr="006710FB">
        <w:rPr>
          <w:rFonts w:cs="Arial"/>
          <w:lang w:val="en-US"/>
        </w:rPr>
        <w:t xml:space="preserve">very </w:t>
      </w:r>
      <w:r w:rsidR="00571A78" w:rsidRPr="006710FB">
        <w:rPr>
          <w:rFonts w:cs="Arial"/>
          <w:lang w:val="en-US"/>
        </w:rPr>
        <w:t xml:space="preserve">frequently </w:t>
      </w:r>
      <w:r w:rsidR="00116B37" w:rsidRPr="006710FB">
        <w:rPr>
          <w:rFonts w:cs="Arial"/>
          <w:lang w:val="en-US"/>
        </w:rPr>
        <w:t>refused to register grants</w:t>
      </w:r>
      <w:r w:rsidR="00173EA1" w:rsidRPr="006710FB">
        <w:rPr>
          <w:rFonts w:cs="Arial"/>
          <w:lang w:val="en-US"/>
        </w:rPr>
        <w:t xml:space="preserve"> </w:t>
      </w:r>
      <w:r w:rsidR="00571A78" w:rsidRPr="006710FB">
        <w:rPr>
          <w:rFonts w:cs="Arial"/>
          <w:lang w:val="en-US"/>
        </w:rPr>
        <w:t xml:space="preserve">thereby denying the </w:t>
      </w:r>
      <w:r w:rsidR="00473BEA" w:rsidRPr="006710FB">
        <w:rPr>
          <w:rFonts w:cs="Arial"/>
          <w:lang w:val="en-US"/>
        </w:rPr>
        <w:t xml:space="preserve">affected </w:t>
      </w:r>
      <w:r w:rsidR="00571A78" w:rsidRPr="006710FB">
        <w:rPr>
          <w:rFonts w:cs="Arial"/>
          <w:lang w:val="en-US"/>
        </w:rPr>
        <w:t>NGO access to funding.</w:t>
      </w:r>
    </w:p>
    <w:p w:rsidR="003A4582" w:rsidRPr="006710FB" w:rsidRDefault="003A4582" w:rsidP="003A4582">
      <w:pPr>
        <w:spacing w:after="0" w:line="240" w:lineRule="auto"/>
        <w:jc w:val="both"/>
        <w:rPr>
          <w:rFonts w:cs="Arial"/>
          <w:lang w:val="en-US"/>
        </w:rPr>
      </w:pPr>
    </w:p>
    <w:p w:rsidR="003A4582" w:rsidRPr="006710FB" w:rsidRDefault="003A4582" w:rsidP="003A4582">
      <w:pPr>
        <w:spacing w:after="0" w:line="240" w:lineRule="auto"/>
        <w:jc w:val="both"/>
        <w:rPr>
          <w:rFonts w:cs="Arial"/>
          <w:lang w:val="en-US"/>
        </w:rPr>
      </w:pPr>
      <w:r w:rsidRPr="006710FB">
        <w:rPr>
          <w:rFonts w:cs="Arial"/>
          <w:lang w:val="en-US"/>
        </w:rPr>
        <w:t xml:space="preserve">The rules governing INGOs </w:t>
      </w:r>
      <w:r w:rsidR="00173EA1" w:rsidRPr="006710FB">
        <w:rPr>
          <w:rFonts w:cs="Arial"/>
          <w:lang w:val="en-US"/>
        </w:rPr>
        <w:t>providing</w:t>
      </w:r>
      <w:r w:rsidRPr="006710FB">
        <w:rPr>
          <w:rFonts w:cs="Arial"/>
          <w:lang w:val="en-US"/>
        </w:rPr>
        <w:t xml:space="preserve"> grants to local organizations have been considerably tightened and local groups are only allowed to receive grants if the INGO providing it complies with the rules. These require the INGO to have a local, legally registered office, to </w:t>
      </w:r>
      <w:r w:rsidR="00173EA1" w:rsidRPr="006710FB">
        <w:rPr>
          <w:rFonts w:cs="Arial"/>
          <w:lang w:val="en-US"/>
        </w:rPr>
        <w:t>be</w:t>
      </w:r>
      <w:r w:rsidR="00173EA1" w:rsidRPr="006710FB">
        <w:rPr>
          <w:rFonts w:eastAsia="Calibri" w:cs="Arial"/>
          <w:lang w:val="en-US"/>
        </w:rPr>
        <w:t xml:space="preserve"> registered with the </w:t>
      </w:r>
      <w:r w:rsidR="005F4EE8" w:rsidRPr="006710FB">
        <w:rPr>
          <w:rFonts w:eastAsia="Calibri" w:cs="Arial"/>
          <w:lang w:val="en-US"/>
        </w:rPr>
        <w:t>government as a potential grant</w:t>
      </w:r>
      <w:r w:rsidR="00173EA1" w:rsidRPr="006710FB">
        <w:rPr>
          <w:rFonts w:eastAsia="Calibri" w:cs="Arial"/>
          <w:lang w:val="en-US"/>
        </w:rPr>
        <w:t xml:space="preserve"> maker</w:t>
      </w:r>
      <w:r w:rsidR="00173EA1" w:rsidRPr="006710FB">
        <w:rPr>
          <w:rFonts w:cs="Arial"/>
          <w:lang w:val="en-US"/>
        </w:rPr>
        <w:t>,</w:t>
      </w:r>
      <w:r w:rsidR="00173EA1" w:rsidRPr="006710FB">
        <w:rPr>
          <w:rFonts w:eastAsia="Calibri" w:cs="Arial"/>
          <w:lang w:val="en-US"/>
        </w:rPr>
        <w:t xml:space="preserve"> </w:t>
      </w:r>
      <w:r w:rsidRPr="006710FB">
        <w:rPr>
          <w:rFonts w:cs="Arial"/>
          <w:lang w:val="en-US"/>
        </w:rPr>
        <w:t xml:space="preserve">and </w:t>
      </w:r>
      <w:r w:rsidR="00435184" w:rsidRPr="006710FB">
        <w:rPr>
          <w:rFonts w:cs="Arial"/>
          <w:lang w:val="en-US"/>
        </w:rPr>
        <w:t xml:space="preserve">for </w:t>
      </w:r>
      <w:r w:rsidRPr="006710FB">
        <w:rPr>
          <w:rFonts w:cs="Arial"/>
          <w:lang w:val="en-US"/>
        </w:rPr>
        <w:t>specific grant</w:t>
      </w:r>
      <w:r w:rsidR="005F4EE8" w:rsidRPr="006710FB">
        <w:rPr>
          <w:rFonts w:cs="Arial"/>
          <w:lang w:val="en-US"/>
        </w:rPr>
        <w:t>s</w:t>
      </w:r>
      <w:r w:rsidRPr="006710FB">
        <w:rPr>
          <w:rFonts w:cs="Arial"/>
          <w:lang w:val="en-US"/>
        </w:rPr>
        <w:t xml:space="preserve"> </w:t>
      </w:r>
      <w:r w:rsidR="00435184" w:rsidRPr="006710FB">
        <w:rPr>
          <w:rFonts w:cs="Arial"/>
          <w:lang w:val="en-US"/>
        </w:rPr>
        <w:t xml:space="preserve">to be </w:t>
      </w:r>
      <w:r w:rsidR="005F4EE8" w:rsidRPr="006710FB">
        <w:rPr>
          <w:rFonts w:cs="Arial"/>
          <w:lang w:val="en-US"/>
        </w:rPr>
        <w:t xml:space="preserve">individually </w:t>
      </w:r>
      <w:r w:rsidRPr="006710FB">
        <w:rPr>
          <w:rFonts w:cs="Arial"/>
          <w:lang w:val="en-US"/>
        </w:rPr>
        <w:t>approved as being ‘expedient’ by the relevant State body. There are reports of INGOs having their bank accounts frozen</w:t>
      </w:r>
      <w:r w:rsidR="00435184" w:rsidRPr="006710FB">
        <w:rPr>
          <w:rFonts w:cs="Arial"/>
          <w:lang w:val="en-US"/>
        </w:rPr>
        <w:t xml:space="preserve"> for alleged infractions of the rules</w:t>
      </w:r>
      <w:r w:rsidRPr="006710FB">
        <w:rPr>
          <w:rFonts w:cs="Arial"/>
          <w:lang w:val="en-US"/>
        </w:rPr>
        <w:t>,</w:t>
      </w:r>
      <w:r w:rsidRPr="006710FB">
        <w:rPr>
          <w:rStyle w:val="FootnoteReference"/>
          <w:rFonts w:cs="Arial"/>
          <w:lang w:val="en-US"/>
        </w:rPr>
        <w:footnoteReference w:id="9"/>
      </w:r>
      <w:r w:rsidRPr="006710FB">
        <w:rPr>
          <w:rFonts w:cs="Arial"/>
          <w:lang w:val="en-US"/>
        </w:rPr>
        <w:t xml:space="preserve"> and there have also been a number of </w:t>
      </w:r>
      <w:r w:rsidR="00435184" w:rsidRPr="006710FB">
        <w:rPr>
          <w:rFonts w:cs="Arial"/>
          <w:lang w:val="en-US"/>
        </w:rPr>
        <w:t xml:space="preserve">unwarranted </w:t>
      </w:r>
      <w:r w:rsidRPr="006710FB">
        <w:rPr>
          <w:rFonts w:cs="Arial"/>
          <w:lang w:val="en-US"/>
        </w:rPr>
        <w:t>criminal investiga</w:t>
      </w:r>
      <w:r w:rsidR="005F4EE8" w:rsidRPr="006710FB">
        <w:rPr>
          <w:rFonts w:cs="Arial"/>
          <w:lang w:val="en-US"/>
        </w:rPr>
        <w:t>tions of INGO</w:t>
      </w:r>
      <w:r w:rsidR="009D4D45" w:rsidRPr="006710FB">
        <w:rPr>
          <w:rFonts w:cs="Arial"/>
          <w:lang w:val="en-US"/>
        </w:rPr>
        <w:t>s</w:t>
      </w:r>
      <w:r w:rsidR="005F4EE8" w:rsidRPr="006710FB">
        <w:rPr>
          <w:rFonts w:cs="Arial"/>
          <w:lang w:val="en-US"/>
        </w:rPr>
        <w:t xml:space="preserve"> (</w:t>
      </w:r>
      <w:r w:rsidRPr="006710FB">
        <w:rPr>
          <w:rFonts w:cs="Arial"/>
          <w:lang w:val="en-US"/>
        </w:rPr>
        <w:t>as outlined in the Annex</w:t>
      </w:r>
      <w:r w:rsidR="005F4EE8" w:rsidRPr="006710FB">
        <w:rPr>
          <w:rFonts w:cs="Arial"/>
          <w:lang w:val="en-US"/>
        </w:rPr>
        <w:t>)</w:t>
      </w:r>
      <w:r w:rsidRPr="006710FB">
        <w:rPr>
          <w:rFonts w:cs="Arial"/>
          <w:lang w:val="en-US"/>
        </w:rPr>
        <w:t>.</w:t>
      </w:r>
      <w:r w:rsidR="00173EA1" w:rsidRPr="006710FB">
        <w:rPr>
          <w:rFonts w:cs="Arial"/>
          <w:lang w:val="en-US"/>
        </w:rPr>
        <w:t xml:space="preserve"> </w:t>
      </w:r>
      <w:r w:rsidR="00173EA1" w:rsidRPr="006710FB">
        <w:rPr>
          <w:rFonts w:eastAsia="Calibri" w:cs="Arial"/>
          <w:lang w:val="en-US"/>
        </w:rPr>
        <w:t xml:space="preserve">Another problem is that the </w:t>
      </w:r>
      <w:r w:rsidR="00173EA1" w:rsidRPr="006710FB">
        <w:rPr>
          <w:rFonts w:cs="Arial"/>
          <w:lang w:val="en-US"/>
        </w:rPr>
        <w:t xml:space="preserve">legislation </w:t>
      </w:r>
      <w:r w:rsidR="00173EA1" w:rsidRPr="006710FB">
        <w:rPr>
          <w:rFonts w:eastAsia="Calibri" w:cs="Arial"/>
          <w:lang w:val="en-US"/>
        </w:rPr>
        <w:t xml:space="preserve">requires the head of </w:t>
      </w:r>
      <w:r w:rsidR="00173EA1" w:rsidRPr="006710FB">
        <w:rPr>
          <w:rFonts w:cs="Arial"/>
          <w:lang w:val="en-US"/>
        </w:rPr>
        <w:t xml:space="preserve">the </w:t>
      </w:r>
      <w:r w:rsidR="00173EA1" w:rsidRPr="006710FB">
        <w:rPr>
          <w:rFonts w:eastAsia="Calibri" w:cs="Arial"/>
          <w:lang w:val="en-US"/>
        </w:rPr>
        <w:t xml:space="preserve">branch </w:t>
      </w:r>
      <w:r w:rsidR="00173EA1" w:rsidRPr="006710FB">
        <w:rPr>
          <w:rFonts w:cs="Arial"/>
          <w:lang w:val="en-US"/>
        </w:rPr>
        <w:t xml:space="preserve">or representative office </w:t>
      </w:r>
      <w:r w:rsidR="00173EA1" w:rsidRPr="006710FB">
        <w:rPr>
          <w:rFonts w:eastAsia="Calibri" w:cs="Arial"/>
          <w:lang w:val="en-US"/>
        </w:rPr>
        <w:t>of INGO</w:t>
      </w:r>
      <w:r w:rsidR="00173EA1" w:rsidRPr="006710FB">
        <w:rPr>
          <w:rFonts w:cs="Arial"/>
          <w:lang w:val="en-US"/>
        </w:rPr>
        <w:t>s</w:t>
      </w:r>
      <w:r w:rsidR="00173EA1" w:rsidRPr="006710FB">
        <w:rPr>
          <w:rFonts w:eastAsia="Calibri" w:cs="Arial"/>
          <w:lang w:val="en-US"/>
        </w:rPr>
        <w:t xml:space="preserve"> </w:t>
      </w:r>
      <w:r w:rsidR="00173EA1" w:rsidRPr="006710FB">
        <w:rPr>
          <w:rFonts w:cs="Arial"/>
          <w:lang w:val="en-US"/>
        </w:rPr>
        <w:t xml:space="preserve">to have </w:t>
      </w:r>
      <w:r w:rsidR="00173EA1" w:rsidRPr="006710FB">
        <w:rPr>
          <w:rFonts w:eastAsia="Calibri" w:cs="Arial"/>
          <w:lang w:val="en-US"/>
        </w:rPr>
        <w:t>permanent residence in Azerbaijan</w:t>
      </w:r>
      <w:r w:rsidR="00173EA1" w:rsidRPr="006710FB">
        <w:rPr>
          <w:rFonts w:cs="Arial"/>
          <w:lang w:val="en-US"/>
        </w:rPr>
        <w:t>, which is difficult to obtain.</w:t>
      </w:r>
    </w:p>
    <w:p w:rsidR="00571A78" w:rsidRPr="006710FB" w:rsidRDefault="00571A78" w:rsidP="00116B37">
      <w:pPr>
        <w:spacing w:after="0" w:line="240" w:lineRule="auto"/>
        <w:jc w:val="both"/>
        <w:rPr>
          <w:rFonts w:cs="Arial"/>
          <w:lang w:val="en-US"/>
        </w:rPr>
      </w:pPr>
    </w:p>
    <w:p w:rsidR="00571A78" w:rsidRPr="006710FB" w:rsidRDefault="00571A78" w:rsidP="00116B37">
      <w:pPr>
        <w:spacing w:after="0" w:line="240" w:lineRule="auto"/>
        <w:jc w:val="both"/>
        <w:rPr>
          <w:rFonts w:cs="Arial"/>
          <w:lang w:val="en-US"/>
        </w:rPr>
      </w:pPr>
      <w:r w:rsidRPr="006710FB">
        <w:rPr>
          <w:rFonts w:cs="Arial"/>
          <w:lang w:val="en-US"/>
        </w:rPr>
        <w:t xml:space="preserve">Breach of these and other financial rules can lead to </w:t>
      </w:r>
      <w:r w:rsidR="00173EA1" w:rsidRPr="006710FB">
        <w:rPr>
          <w:rFonts w:cs="Arial"/>
          <w:lang w:val="en-US"/>
        </w:rPr>
        <w:t xml:space="preserve">significant </w:t>
      </w:r>
      <w:r w:rsidR="00173EA1" w:rsidRPr="006710FB">
        <w:rPr>
          <w:rFonts w:eastAsia="Calibri" w:cs="Arial"/>
          <w:lang w:val="en-US"/>
        </w:rPr>
        <w:t>financial penalties</w:t>
      </w:r>
      <w:r w:rsidR="00173EA1" w:rsidRPr="006710FB">
        <w:rPr>
          <w:rFonts w:cs="Arial"/>
          <w:lang w:val="en-US"/>
        </w:rPr>
        <w:t xml:space="preserve"> and</w:t>
      </w:r>
      <w:r w:rsidR="00173EA1" w:rsidRPr="006710FB">
        <w:rPr>
          <w:rFonts w:eastAsia="Calibri" w:cs="Arial"/>
          <w:lang w:val="en-US"/>
        </w:rPr>
        <w:t xml:space="preserve"> official warnings</w:t>
      </w:r>
      <w:r w:rsidR="00173EA1" w:rsidRPr="006710FB">
        <w:rPr>
          <w:rFonts w:cs="Arial"/>
          <w:lang w:val="en-US"/>
        </w:rPr>
        <w:t>,</w:t>
      </w:r>
      <w:r w:rsidR="00173EA1" w:rsidRPr="006710FB">
        <w:rPr>
          <w:rFonts w:eastAsia="Calibri" w:cs="Arial"/>
          <w:lang w:val="en-US"/>
        </w:rPr>
        <w:t xml:space="preserve"> which can </w:t>
      </w:r>
      <w:r w:rsidR="00173EA1" w:rsidRPr="006710FB">
        <w:rPr>
          <w:rFonts w:cs="Arial"/>
          <w:lang w:val="en-US"/>
        </w:rPr>
        <w:t xml:space="preserve">in turn </w:t>
      </w:r>
      <w:r w:rsidR="00173EA1" w:rsidRPr="006710FB">
        <w:rPr>
          <w:rFonts w:eastAsia="Calibri" w:cs="Arial"/>
          <w:lang w:val="en-US"/>
        </w:rPr>
        <w:t xml:space="preserve">lead to </w:t>
      </w:r>
      <w:r w:rsidR="00173EA1" w:rsidRPr="006710FB">
        <w:rPr>
          <w:rFonts w:cs="Arial"/>
          <w:lang w:val="en-US"/>
        </w:rPr>
        <w:t>t</w:t>
      </w:r>
      <w:r w:rsidRPr="006710FB">
        <w:rPr>
          <w:rFonts w:cs="Arial"/>
          <w:lang w:val="en-US"/>
        </w:rPr>
        <w:t>he freezing</w:t>
      </w:r>
      <w:r w:rsidR="00473BEA" w:rsidRPr="006710FB">
        <w:rPr>
          <w:rFonts w:cs="Arial"/>
          <w:lang w:val="en-US"/>
        </w:rPr>
        <w:t xml:space="preserve"> of the bank accounts</w:t>
      </w:r>
      <w:r w:rsidRPr="006710FB">
        <w:rPr>
          <w:rFonts w:cs="Arial"/>
          <w:lang w:val="en-US"/>
        </w:rPr>
        <w:t xml:space="preserve"> of not only the relevant NGO but also the personal accounts of its leaders. </w:t>
      </w:r>
      <w:r w:rsidR="00435184" w:rsidRPr="006710FB">
        <w:rPr>
          <w:rFonts w:cs="Arial"/>
          <w:lang w:val="en-US"/>
        </w:rPr>
        <w:t xml:space="preserve">Bank accounts can, for example, be frozen if NGOs do not have a grant registration letter showing that the funds have </w:t>
      </w:r>
      <w:r w:rsidR="005F4EE8" w:rsidRPr="006710FB">
        <w:rPr>
          <w:rFonts w:cs="Arial"/>
          <w:lang w:val="en-US"/>
        </w:rPr>
        <w:t>been approved</w:t>
      </w:r>
      <w:r w:rsidR="00435184" w:rsidRPr="006710FB">
        <w:rPr>
          <w:rFonts w:cs="Arial"/>
          <w:lang w:val="en-US"/>
        </w:rPr>
        <w:t xml:space="preserve">. </w:t>
      </w:r>
      <w:r w:rsidRPr="006710FB">
        <w:rPr>
          <w:rFonts w:cs="Arial"/>
          <w:lang w:val="en-US"/>
        </w:rPr>
        <w:t>As detailed in the Annex, there have been numerous cases of both NGO and personal bank accounts being frozen.</w:t>
      </w:r>
      <w:r w:rsidR="00435184" w:rsidRPr="006710FB">
        <w:rPr>
          <w:rFonts w:cs="Arial"/>
          <w:lang w:val="en-US"/>
        </w:rPr>
        <w:t xml:space="preserve"> Taken together with the ongoing criminal investigations of key transparency and accountability donors, the new rules have made it extremely difficult, and in many cases effectively impossible, for NGOs to obtain, access and use outside funding. This is the major reason for the closure of growing numbers of NGOs which work on open government issues.</w:t>
      </w:r>
    </w:p>
    <w:p w:rsidR="00412BCA" w:rsidRPr="006710FB" w:rsidRDefault="00412BCA" w:rsidP="00945837">
      <w:pPr>
        <w:spacing w:after="0" w:line="240" w:lineRule="auto"/>
        <w:jc w:val="both"/>
        <w:rPr>
          <w:rFonts w:cs="Arial"/>
          <w:lang w:val="en-US"/>
        </w:rPr>
      </w:pPr>
    </w:p>
    <w:p w:rsidR="00412BCA" w:rsidRPr="006710FB" w:rsidRDefault="00412BCA" w:rsidP="00945837">
      <w:pPr>
        <w:spacing w:after="0" w:line="240" w:lineRule="auto"/>
        <w:jc w:val="both"/>
        <w:rPr>
          <w:rFonts w:cs="Arial"/>
          <w:b/>
          <w:lang w:val="en-US"/>
        </w:rPr>
      </w:pPr>
      <w:r w:rsidRPr="006710FB">
        <w:rPr>
          <w:rFonts w:cs="Arial"/>
          <w:b/>
          <w:lang w:val="en-US"/>
        </w:rPr>
        <w:t>Harassment of Civil Society</w:t>
      </w:r>
    </w:p>
    <w:p w:rsidR="00571A78" w:rsidRPr="006710FB" w:rsidRDefault="00571A78" w:rsidP="00945837">
      <w:pPr>
        <w:spacing w:after="0" w:line="240" w:lineRule="auto"/>
        <w:jc w:val="both"/>
        <w:rPr>
          <w:rFonts w:cs="Arial"/>
          <w:lang w:val="en-US"/>
        </w:rPr>
      </w:pPr>
    </w:p>
    <w:p w:rsidR="00571A78" w:rsidRPr="006710FB" w:rsidRDefault="00571A78" w:rsidP="00945837">
      <w:pPr>
        <w:spacing w:after="0" w:line="240" w:lineRule="auto"/>
        <w:jc w:val="both"/>
        <w:rPr>
          <w:rFonts w:cs="Arial"/>
          <w:lang w:val="en-US"/>
        </w:rPr>
      </w:pPr>
      <w:r w:rsidRPr="006710FB">
        <w:rPr>
          <w:rFonts w:cs="Arial"/>
          <w:lang w:val="en-US"/>
        </w:rPr>
        <w:t>The authorities have engaged in a number of forms of informal or non-legal ha</w:t>
      </w:r>
      <w:r w:rsidR="00473BEA" w:rsidRPr="006710FB">
        <w:rPr>
          <w:rFonts w:cs="Arial"/>
          <w:lang w:val="en-US"/>
        </w:rPr>
        <w:t>rassment of NGOs. These range f</w:t>
      </w:r>
      <w:r w:rsidRPr="006710FB">
        <w:rPr>
          <w:rFonts w:cs="Arial"/>
          <w:lang w:val="en-US"/>
        </w:rPr>
        <w:t>r</w:t>
      </w:r>
      <w:r w:rsidR="00473BEA" w:rsidRPr="006710FB">
        <w:rPr>
          <w:rFonts w:cs="Arial"/>
          <w:lang w:val="en-US"/>
        </w:rPr>
        <w:t>o</w:t>
      </w:r>
      <w:r w:rsidRPr="006710FB">
        <w:rPr>
          <w:rFonts w:cs="Arial"/>
          <w:lang w:val="en-US"/>
        </w:rPr>
        <w:t xml:space="preserve">m cases where the government appears to have put pressure on private businesses not to offer services </w:t>
      </w:r>
      <w:r w:rsidR="00473BEA" w:rsidRPr="006710FB">
        <w:rPr>
          <w:rFonts w:cs="Arial"/>
          <w:lang w:val="en-US"/>
        </w:rPr>
        <w:t xml:space="preserve">to NGOs </w:t>
      </w:r>
      <w:r w:rsidRPr="006710FB">
        <w:rPr>
          <w:rFonts w:cs="Arial"/>
          <w:lang w:val="en-US"/>
        </w:rPr>
        <w:t>– for example office rental or conference services</w:t>
      </w:r>
      <w:r w:rsidR="005F4EE8" w:rsidRPr="006710FB">
        <w:rPr>
          <w:rFonts w:cs="Arial"/>
          <w:lang w:val="en-US"/>
        </w:rPr>
        <w:t>, which are</w:t>
      </w:r>
      <w:r w:rsidRPr="006710FB">
        <w:rPr>
          <w:rFonts w:cs="Arial"/>
          <w:lang w:val="en-US"/>
        </w:rPr>
        <w:t xml:space="preserve"> </w:t>
      </w:r>
      <w:r w:rsidR="000D1198" w:rsidRPr="006710FB">
        <w:rPr>
          <w:rFonts w:cs="Arial"/>
          <w:lang w:val="en-US"/>
        </w:rPr>
        <w:t xml:space="preserve">necessary for them to carry out their activities, including </w:t>
      </w:r>
      <w:r w:rsidR="005F4EE8" w:rsidRPr="006710FB">
        <w:rPr>
          <w:rFonts w:cs="Arial"/>
          <w:lang w:val="en-US"/>
        </w:rPr>
        <w:t xml:space="preserve">holding </w:t>
      </w:r>
      <w:r w:rsidR="000D1198" w:rsidRPr="006710FB">
        <w:rPr>
          <w:rFonts w:cs="Arial"/>
          <w:lang w:val="en-US"/>
        </w:rPr>
        <w:t xml:space="preserve">public debates on open government issues </w:t>
      </w:r>
      <w:r w:rsidRPr="006710FB">
        <w:rPr>
          <w:rFonts w:cs="Arial"/>
          <w:lang w:val="en-US"/>
        </w:rPr>
        <w:t>–</w:t>
      </w:r>
      <w:r w:rsidR="000D1198" w:rsidRPr="006710FB">
        <w:rPr>
          <w:rFonts w:cs="Arial"/>
          <w:lang w:val="en-US"/>
        </w:rPr>
        <w:t xml:space="preserve"> </w:t>
      </w:r>
      <w:r w:rsidRPr="006710FB">
        <w:rPr>
          <w:rFonts w:cs="Arial"/>
          <w:lang w:val="en-US"/>
        </w:rPr>
        <w:t xml:space="preserve">to </w:t>
      </w:r>
      <w:r w:rsidR="000D1198" w:rsidRPr="006710FB">
        <w:rPr>
          <w:rFonts w:cs="Arial"/>
          <w:lang w:val="en-US"/>
        </w:rPr>
        <w:t xml:space="preserve">even </w:t>
      </w:r>
      <w:r w:rsidRPr="006710FB">
        <w:rPr>
          <w:rFonts w:cs="Arial"/>
          <w:lang w:val="en-US"/>
        </w:rPr>
        <w:t>more serious matters. Although this is not legally required, in practice NGOs must send a notification to the Presidential administration as well as to the Head of the local administration if it wants to organize an event outside of Baku, failing which it may face police harassment during the event.</w:t>
      </w:r>
      <w:r w:rsidR="00E93251" w:rsidRPr="006710FB">
        <w:rPr>
          <w:rFonts w:cs="Arial"/>
          <w:lang w:val="en-US"/>
        </w:rPr>
        <w:t xml:space="preserve"> Such permissions have regularly been denied to independent groups since 2014. </w:t>
      </w:r>
      <w:r w:rsidR="005F4EE8" w:rsidRPr="006710FB">
        <w:rPr>
          <w:rFonts w:cs="Arial"/>
          <w:lang w:val="en-US"/>
        </w:rPr>
        <w:t>T</w:t>
      </w:r>
      <w:r w:rsidR="00E93251" w:rsidRPr="006710FB">
        <w:rPr>
          <w:rFonts w:cs="Arial"/>
          <w:lang w:val="en-US"/>
        </w:rPr>
        <w:t xml:space="preserve">he </w:t>
      </w:r>
      <w:r w:rsidR="005F4EE8" w:rsidRPr="006710FB">
        <w:rPr>
          <w:rFonts w:cs="Arial"/>
          <w:lang w:val="en-US"/>
        </w:rPr>
        <w:t xml:space="preserve">NGO </w:t>
      </w:r>
      <w:r w:rsidR="005F4EE8" w:rsidRPr="006710FB">
        <w:rPr>
          <w:rFonts w:cs="Arial"/>
          <w:lang w:val="en-US"/>
        </w:rPr>
        <w:lastRenderedPageBreak/>
        <w:t>EITI Coalition has reported that</w:t>
      </w:r>
      <w:r w:rsidR="00E93251" w:rsidRPr="006710FB">
        <w:rPr>
          <w:rFonts w:cs="Arial"/>
          <w:lang w:val="en-US"/>
        </w:rPr>
        <w:t xml:space="preserve"> it has been </w:t>
      </w:r>
      <w:r w:rsidR="005F4EE8" w:rsidRPr="006710FB">
        <w:rPr>
          <w:rFonts w:cs="Arial"/>
          <w:lang w:val="en-US"/>
        </w:rPr>
        <w:t xml:space="preserve">completely </w:t>
      </w:r>
      <w:r w:rsidR="00E93251" w:rsidRPr="006710FB">
        <w:rPr>
          <w:rFonts w:cs="Arial"/>
          <w:lang w:val="en-US"/>
        </w:rPr>
        <w:t>unable to conduct activities outside the capital due to these factors.</w:t>
      </w:r>
      <w:r w:rsidR="00E93251" w:rsidRPr="006710FB">
        <w:rPr>
          <w:rStyle w:val="FootnoteReference"/>
          <w:rFonts w:cs="Arial"/>
          <w:lang w:val="en-US"/>
        </w:rPr>
        <w:footnoteReference w:id="10"/>
      </w:r>
    </w:p>
    <w:p w:rsidR="00571A78" w:rsidRPr="006710FB" w:rsidRDefault="00571A78" w:rsidP="00945837">
      <w:pPr>
        <w:spacing w:after="0" w:line="240" w:lineRule="auto"/>
        <w:jc w:val="both"/>
        <w:rPr>
          <w:rFonts w:cs="Arial"/>
          <w:lang w:val="en-US"/>
        </w:rPr>
      </w:pPr>
    </w:p>
    <w:p w:rsidR="00D12DC4" w:rsidRPr="006710FB" w:rsidRDefault="00571A78" w:rsidP="00945837">
      <w:pPr>
        <w:spacing w:after="0" w:line="240" w:lineRule="auto"/>
        <w:jc w:val="both"/>
        <w:rPr>
          <w:rFonts w:cs="Arial"/>
          <w:lang w:val="en-US"/>
        </w:rPr>
      </w:pPr>
      <w:r w:rsidRPr="006710FB">
        <w:rPr>
          <w:rFonts w:cs="Arial"/>
          <w:lang w:val="en-US"/>
        </w:rPr>
        <w:t xml:space="preserve">A number of civil society activists have been subjected to </w:t>
      </w:r>
      <w:r w:rsidR="00E93251" w:rsidRPr="006710FB">
        <w:rPr>
          <w:rFonts w:cs="Arial"/>
          <w:lang w:val="en-US"/>
        </w:rPr>
        <w:t xml:space="preserve">lengthy and </w:t>
      </w:r>
      <w:r w:rsidRPr="006710FB">
        <w:rPr>
          <w:rFonts w:cs="Arial"/>
          <w:lang w:val="en-US"/>
        </w:rPr>
        <w:t xml:space="preserve">sometimes </w:t>
      </w:r>
      <w:r w:rsidR="00E93251" w:rsidRPr="006710FB">
        <w:rPr>
          <w:rFonts w:cs="Arial"/>
          <w:lang w:val="en-US"/>
        </w:rPr>
        <w:t>repeated</w:t>
      </w:r>
      <w:r w:rsidRPr="006710FB">
        <w:rPr>
          <w:rFonts w:cs="Arial"/>
          <w:lang w:val="en-US"/>
        </w:rPr>
        <w:t xml:space="preserve"> interrogations relating to criminal cases </w:t>
      </w:r>
      <w:r w:rsidR="00E93251" w:rsidRPr="006710FB">
        <w:rPr>
          <w:rFonts w:cs="Arial"/>
          <w:lang w:val="en-US"/>
        </w:rPr>
        <w:t>in which they are considered to be potential witnesses</w:t>
      </w:r>
      <w:r w:rsidRPr="006710FB">
        <w:rPr>
          <w:rFonts w:cs="Arial"/>
          <w:lang w:val="en-US"/>
        </w:rPr>
        <w:t xml:space="preserve">. In several cases, NGO offices and leader’s homes have been searched, with colleagues, neighbors or family members being asked questions. Given the </w:t>
      </w:r>
      <w:r w:rsidR="00473BEA" w:rsidRPr="006710FB">
        <w:rPr>
          <w:rFonts w:cs="Arial"/>
          <w:lang w:val="en-US"/>
        </w:rPr>
        <w:t xml:space="preserve">fact that criminal </w:t>
      </w:r>
      <w:r w:rsidRPr="006710FB">
        <w:rPr>
          <w:rFonts w:cs="Arial"/>
          <w:lang w:val="en-US"/>
        </w:rPr>
        <w:t xml:space="preserve">charges </w:t>
      </w:r>
      <w:r w:rsidR="00473BEA" w:rsidRPr="006710FB">
        <w:rPr>
          <w:rFonts w:cs="Arial"/>
          <w:lang w:val="en-US"/>
        </w:rPr>
        <w:t xml:space="preserve">have been laid </w:t>
      </w:r>
      <w:r w:rsidRPr="006710FB">
        <w:rPr>
          <w:rFonts w:cs="Arial"/>
          <w:lang w:val="en-US"/>
        </w:rPr>
        <w:t>against a number of NGO activists, these searches and questioning are very threatening.</w:t>
      </w:r>
    </w:p>
    <w:p w:rsidR="00D12DC4" w:rsidRPr="006710FB" w:rsidRDefault="00D12DC4" w:rsidP="00945837">
      <w:pPr>
        <w:spacing w:after="0" w:line="240" w:lineRule="auto"/>
        <w:jc w:val="both"/>
        <w:rPr>
          <w:rFonts w:cs="Arial"/>
          <w:lang w:val="en-US"/>
        </w:rPr>
      </w:pPr>
    </w:p>
    <w:p w:rsidR="00412BCA" w:rsidRPr="006710FB" w:rsidRDefault="00D12DC4" w:rsidP="00945837">
      <w:pPr>
        <w:spacing w:after="0" w:line="240" w:lineRule="auto"/>
        <w:jc w:val="both"/>
        <w:rPr>
          <w:rFonts w:cs="Arial"/>
          <w:lang w:val="en-US"/>
        </w:rPr>
      </w:pPr>
      <w:r w:rsidRPr="006710FB">
        <w:rPr>
          <w:rFonts w:cs="Arial"/>
          <w:lang w:val="en-US"/>
        </w:rPr>
        <w:t xml:space="preserve">There have also been strong and unwarranted accusations </w:t>
      </w:r>
      <w:r w:rsidR="005F4EE8" w:rsidRPr="006710FB">
        <w:rPr>
          <w:rFonts w:cs="Arial"/>
          <w:lang w:val="en-US"/>
        </w:rPr>
        <w:t>leveled at</w:t>
      </w:r>
      <w:r w:rsidRPr="006710FB">
        <w:rPr>
          <w:rFonts w:cs="Arial"/>
          <w:lang w:val="en-US"/>
        </w:rPr>
        <w:t xml:space="preserve"> independent NGOs and their leaders, for example in the public media. </w:t>
      </w:r>
      <w:r w:rsidR="00E93251" w:rsidRPr="006710FB">
        <w:rPr>
          <w:rFonts w:cs="Arial"/>
          <w:lang w:val="en-US"/>
        </w:rPr>
        <w:t xml:space="preserve">Pejorative </w:t>
      </w:r>
      <w:r w:rsidRPr="006710FB">
        <w:rPr>
          <w:rFonts w:cs="Arial"/>
          <w:lang w:val="en-US"/>
        </w:rPr>
        <w:t>terms have been used to discredit these NGOs, such as calling them traitors or accusing them of attempting to harm the interests of Azerbaijan or being disloyal or unfaithful to the country</w:t>
      </w:r>
      <w:r w:rsidR="00E93251" w:rsidRPr="006710FB">
        <w:rPr>
          <w:rFonts w:cs="Arial"/>
          <w:lang w:val="en-US"/>
        </w:rPr>
        <w:t xml:space="preserve"> due to accepting foreign funds or allegedly working for foreign interests</w:t>
      </w:r>
      <w:r w:rsidRPr="006710FB">
        <w:rPr>
          <w:rFonts w:cs="Arial"/>
          <w:lang w:val="en-US"/>
        </w:rPr>
        <w:t xml:space="preserve">. Given the difficult climate, these attacks are </w:t>
      </w:r>
      <w:r w:rsidR="00473BEA" w:rsidRPr="006710FB">
        <w:rPr>
          <w:rFonts w:cs="Arial"/>
          <w:lang w:val="en-US"/>
        </w:rPr>
        <w:t xml:space="preserve">very </w:t>
      </w:r>
      <w:r w:rsidRPr="006710FB">
        <w:rPr>
          <w:rFonts w:cs="Arial"/>
          <w:lang w:val="en-US"/>
        </w:rPr>
        <w:t xml:space="preserve">disturbing. Indeed, at least one civil society activist was brutally attacked </w:t>
      </w:r>
      <w:r w:rsidR="00473BEA" w:rsidRPr="006710FB">
        <w:rPr>
          <w:rFonts w:cs="Arial"/>
          <w:lang w:val="en-US"/>
        </w:rPr>
        <w:t>in circumstances which</w:t>
      </w:r>
      <w:r w:rsidRPr="006710FB">
        <w:rPr>
          <w:rFonts w:cs="Arial"/>
          <w:lang w:val="en-US"/>
        </w:rPr>
        <w:t xml:space="preserve"> suggest that this was related to his civil society work. NGO leaders have also received threatening phone calls</w:t>
      </w:r>
      <w:r w:rsidR="00E93251" w:rsidRPr="006710FB">
        <w:rPr>
          <w:rFonts w:cs="Arial"/>
          <w:lang w:val="en-US"/>
        </w:rPr>
        <w:t xml:space="preserve"> and have been harassed when re-entering the country after travel abroad and threatened with travel bans</w:t>
      </w:r>
      <w:r w:rsidRPr="006710FB">
        <w:rPr>
          <w:rFonts w:cs="Arial"/>
          <w:lang w:val="en-US"/>
        </w:rPr>
        <w:t>.</w:t>
      </w:r>
    </w:p>
    <w:p w:rsidR="00412BCA" w:rsidRPr="006710FB" w:rsidRDefault="00412BCA" w:rsidP="00945837">
      <w:pPr>
        <w:spacing w:after="0" w:line="240" w:lineRule="auto"/>
        <w:jc w:val="both"/>
        <w:rPr>
          <w:rFonts w:cs="Arial"/>
          <w:lang w:val="en-US"/>
        </w:rPr>
      </w:pPr>
    </w:p>
    <w:p w:rsidR="00412BCA" w:rsidRPr="006710FB" w:rsidRDefault="00412BCA" w:rsidP="00945837">
      <w:pPr>
        <w:spacing w:after="0" w:line="240" w:lineRule="auto"/>
        <w:jc w:val="both"/>
        <w:rPr>
          <w:rFonts w:cs="Arial"/>
          <w:b/>
          <w:lang w:val="en-US"/>
        </w:rPr>
      </w:pPr>
      <w:r w:rsidRPr="006710FB">
        <w:rPr>
          <w:rFonts w:cs="Arial"/>
          <w:b/>
          <w:lang w:val="en-US"/>
        </w:rPr>
        <w:t>Criminal and Tax Cases</w:t>
      </w:r>
    </w:p>
    <w:p w:rsidR="00D12DC4" w:rsidRPr="006710FB" w:rsidRDefault="00D12DC4" w:rsidP="00945837">
      <w:pPr>
        <w:spacing w:after="0" w:line="240" w:lineRule="auto"/>
        <w:jc w:val="both"/>
        <w:rPr>
          <w:rFonts w:cs="Arial"/>
          <w:lang w:val="en-US"/>
        </w:rPr>
      </w:pPr>
    </w:p>
    <w:p w:rsidR="00412BCA" w:rsidRPr="006710FB" w:rsidRDefault="00DB2F94" w:rsidP="00945837">
      <w:pPr>
        <w:spacing w:after="0" w:line="240" w:lineRule="auto"/>
        <w:jc w:val="both"/>
        <w:rPr>
          <w:rFonts w:cs="Arial"/>
          <w:lang w:val="en-US"/>
        </w:rPr>
      </w:pPr>
      <w:r w:rsidRPr="006710FB">
        <w:rPr>
          <w:rFonts w:cs="Arial"/>
          <w:lang w:val="en-US"/>
        </w:rPr>
        <w:t xml:space="preserve">A number of </w:t>
      </w:r>
      <w:r w:rsidR="005F4EE8" w:rsidRPr="006710FB">
        <w:rPr>
          <w:rFonts w:cs="Arial"/>
          <w:lang w:val="en-US"/>
        </w:rPr>
        <w:t xml:space="preserve">tax and other </w:t>
      </w:r>
      <w:r w:rsidRPr="006710FB">
        <w:rPr>
          <w:rFonts w:cs="Arial"/>
          <w:lang w:val="en-US"/>
        </w:rPr>
        <w:t xml:space="preserve">criminal cases have been </w:t>
      </w:r>
      <w:r w:rsidR="005F4EE8" w:rsidRPr="006710FB">
        <w:rPr>
          <w:rFonts w:cs="Arial"/>
          <w:lang w:val="en-US"/>
        </w:rPr>
        <w:t>initiated</w:t>
      </w:r>
      <w:r w:rsidRPr="006710FB">
        <w:rPr>
          <w:rFonts w:cs="Arial"/>
          <w:lang w:val="en-US"/>
        </w:rPr>
        <w:t xml:space="preserve"> against both NGO leaders and independent NGOs. In some cases these are based on trumped up charges, for example of tax evasion, while in others they rest on unclear provisions in th</w:t>
      </w:r>
      <w:r w:rsidR="00473BEA" w:rsidRPr="006710FB">
        <w:rPr>
          <w:rFonts w:cs="Arial"/>
          <w:lang w:val="en-US"/>
        </w:rPr>
        <w:t>e laws, such as the prohibition</w:t>
      </w:r>
      <w:r w:rsidRPr="006710FB">
        <w:rPr>
          <w:rFonts w:cs="Arial"/>
          <w:lang w:val="en-US"/>
        </w:rPr>
        <w:t xml:space="preserve"> on “illegal entrepreneurship” (which essentially relates to a failure to follow the complex, bureaucratic rules relating to grant approvals) or </w:t>
      </w:r>
      <w:r w:rsidR="00473BEA" w:rsidRPr="006710FB">
        <w:rPr>
          <w:rFonts w:cs="Arial"/>
          <w:lang w:val="en-US"/>
        </w:rPr>
        <w:t>“</w:t>
      </w:r>
      <w:r w:rsidRPr="006710FB">
        <w:rPr>
          <w:rFonts w:cs="Arial"/>
          <w:lang w:val="en-US"/>
        </w:rPr>
        <w:t>abuse of a</w:t>
      </w:r>
      <w:r w:rsidR="00473BEA" w:rsidRPr="006710FB">
        <w:rPr>
          <w:rFonts w:cs="Arial"/>
          <w:lang w:val="en-US"/>
        </w:rPr>
        <w:t>uthority”</w:t>
      </w:r>
      <w:r w:rsidRPr="006710FB">
        <w:rPr>
          <w:rFonts w:cs="Arial"/>
          <w:lang w:val="en-US"/>
        </w:rPr>
        <w:t xml:space="preserve"> (which</w:t>
      </w:r>
      <w:r w:rsidR="00E93251" w:rsidRPr="006710FB">
        <w:rPr>
          <w:rFonts w:cs="Arial"/>
          <w:lang w:val="en-US"/>
        </w:rPr>
        <w:t xml:space="preserve"> often</w:t>
      </w:r>
      <w:r w:rsidRPr="006710FB">
        <w:rPr>
          <w:rFonts w:cs="Arial"/>
          <w:lang w:val="en-US"/>
        </w:rPr>
        <w:t xml:space="preserve"> relates to a breach of the rules relating to NGOs), both of which are more properly seen as administrative matters. The very serious implications of these cases – which can lead not only to fines but also potentially to more serious criminal penalties </w:t>
      </w:r>
      <w:r w:rsidR="00872F4D" w:rsidRPr="006710FB">
        <w:rPr>
          <w:rFonts w:cs="Arial"/>
          <w:lang w:val="en-US"/>
        </w:rPr>
        <w:t>–</w:t>
      </w:r>
      <w:r w:rsidR="00E93251" w:rsidRPr="006710FB">
        <w:rPr>
          <w:rFonts w:cs="Arial"/>
          <w:lang w:val="en-US"/>
        </w:rPr>
        <w:t xml:space="preserve"> </w:t>
      </w:r>
      <w:r w:rsidR="00872F4D" w:rsidRPr="006710FB">
        <w:rPr>
          <w:rFonts w:cs="Arial"/>
          <w:lang w:val="en-US"/>
        </w:rPr>
        <w:t>mean that they create a serious chilling ef</w:t>
      </w:r>
      <w:r w:rsidR="005F4EE8" w:rsidRPr="006710FB">
        <w:rPr>
          <w:rFonts w:cs="Arial"/>
          <w:lang w:val="en-US"/>
        </w:rPr>
        <w:t>fect on those who are targeted.</w:t>
      </w:r>
    </w:p>
    <w:p w:rsidR="00412BCA" w:rsidRPr="006710FB" w:rsidRDefault="00412BCA" w:rsidP="00945837">
      <w:pPr>
        <w:spacing w:after="0" w:line="240" w:lineRule="auto"/>
        <w:jc w:val="both"/>
        <w:rPr>
          <w:rFonts w:cs="Arial"/>
          <w:lang w:val="en-US"/>
        </w:rPr>
      </w:pPr>
    </w:p>
    <w:p w:rsidR="00412BCA" w:rsidRPr="006710FB" w:rsidRDefault="00412BCA" w:rsidP="00945837">
      <w:pPr>
        <w:spacing w:after="0" w:line="240" w:lineRule="auto"/>
        <w:jc w:val="both"/>
        <w:rPr>
          <w:rFonts w:cs="Arial"/>
          <w:b/>
          <w:lang w:val="en-US"/>
        </w:rPr>
      </w:pPr>
      <w:r w:rsidRPr="006710FB">
        <w:rPr>
          <w:rFonts w:cs="Arial"/>
          <w:b/>
          <w:lang w:val="en-US"/>
        </w:rPr>
        <w:t>Consultation Failures</w:t>
      </w:r>
    </w:p>
    <w:p w:rsidR="00412BCA" w:rsidRPr="006710FB" w:rsidRDefault="00412BCA" w:rsidP="00945837">
      <w:pPr>
        <w:spacing w:after="0" w:line="240" w:lineRule="auto"/>
        <w:jc w:val="both"/>
        <w:rPr>
          <w:rFonts w:cs="Arial"/>
          <w:lang w:val="en-US"/>
        </w:rPr>
      </w:pPr>
    </w:p>
    <w:p w:rsidR="00BF6D10" w:rsidRPr="006710FB" w:rsidRDefault="004D4244" w:rsidP="004D4244">
      <w:pPr>
        <w:spacing w:after="0" w:line="240" w:lineRule="auto"/>
        <w:jc w:val="both"/>
        <w:rPr>
          <w:rFonts w:cs="Arial"/>
          <w:iCs/>
          <w:lang w:val="en-US"/>
        </w:rPr>
      </w:pPr>
      <w:r w:rsidRPr="006710FB">
        <w:rPr>
          <w:rFonts w:cs="Arial"/>
          <w:lang w:val="en-US"/>
        </w:rPr>
        <w:t xml:space="preserve">These problems have already resulted in failures by Azerbaijan to meet its OGP obligations in the area of consultation with civil society, in particular to ensure that the </w:t>
      </w:r>
      <w:r w:rsidRPr="006710FB">
        <w:rPr>
          <w:rFonts w:cs="Arial"/>
          <w:iCs/>
          <w:lang w:val="en-US"/>
        </w:rPr>
        <w:t xml:space="preserve">manner </w:t>
      </w:r>
      <w:r w:rsidR="00BF6D10" w:rsidRPr="006710FB">
        <w:rPr>
          <w:rFonts w:cs="Arial"/>
          <w:iCs/>
          <w:lang w:val="en-US"/>
        </w:rPr>
        <w:t>in which the Action Plan is developed and implemented is as open, consultative an</w:t>
      </w:r>
      <w:r w:rsidRPr="006710FB">
        <w:rPr>
          <w:rFonts w:cs="Arial"/>
          <w:iCs/>
          <w:lang w:val="en-US"/>
        </w:rPr>
        <w:t>d participatory as possible. This is reflected in the</w:t>
      </w:r>
      <w:r w:rsidR="00BF6D10" w:rsidRPr="006710FB">
        <w:rPr>
          <w:rFonts w:cs="Arial"/>
          <w:iCs/>
          <w:lang w:val="en-US"/>
        </w:rPr>
        <w:t xml:space="preserve"> </w:t>
      </w:r>
      <w:r w:rsidR="008329B4" w:rsidRPr="006710FB">
        <w:rPr>
          <w:rFonts w:cs="Arial"/>
          <w:iCs/>
          <w:lang w:val="en-US"/>
        </w:rPr>
        <w:t xml:space="preserve">OGP </w:t>
      </w:r>
      <w:r w:rsidR="00BF6D10" w:rsidRPr="006710FB">
        <w:rPr>
          <w:rFonts w:cs="Arial"/>
          <w:iCs/>
          <w:lang w:val="en-US"/>
        </w:rPr>
        <w:t>Independent Reporting Mechanism</w:t>
      </w:r>
      <w:r w:rsidR="008329B4" w:rsidRPr="006710FB">
        <w:rPr>
          <w:rFonts w:cs="Arial"/>
          <w:iCs/>
          <w:lang w:val="en-US"/>
        </w:rPr>
        <w:t>:</w:t>
      </w:r>
      <w:r w:rsidR="00BF6D10" w:rsidRPr="006710FB">
        <w:rPr>
          <w:rFonts w:cs="Arial"/>
          <w:iCs/>
          <w:lang w:val="en-US"/>
        </w:rPr>
        <w:t xml:space="preserve"> </w:t>
      </w:r>
      <w:r w:rsidRPr="006710FB">
        <w:rPr>
          <w:rFonts w:cs="Arial"/>
          <w:iCs/>
          <w:lang w:val="en-US"/>
        </w:rPr>
        <w:t xml:space="preserve">Azerbaijan </w:t>
      </w:r>
      <w:r w:rsidR="008329B4" w:rsidRPr="006710FB">
        <w:rPr>
          <w:rFonts w:cs="Arial"/>
          <w:iCs/>
          <w:lang w:val="en-US"/>
        </w:rPr>
        <w:t xml:space="preserve">Progress Report </w:t>
      </w:r>
      <w:r w:rsidR="00BF6D10" w:rsidRPr="006710FB">
        <w:rPr>
          <w:rFonts w:cs="Arial"/>
          <w:iCs/>
          <w:lang w:val="en-US"/>
        </w:rPr>
        <w:t>2012-2013</w:t>
      </w:r>
      <w:r w:rsidRPr="006710FB">
        <w:rPr>
          <w:rFonts w:cs="Arial"/>
          <w:iCs/>
          <w:lang w:val="en-US"/>
        </w:rPr>
        <w:t>,</w:t>
      </w:r>
      <w:r w:rsidR="008329B4" w:rsidRPr="006710FB">
        <w:rPr>
          <w:rStyle w:val="FootnoteReference"/>
          <w:rFonts w:cs="Arial"/>
          <w:iCs/>
          <w:lang w:val="en-US"/>
        </w:rPr>
        <w:footnoteReference w:id="11"/>
      </w:r>
      <w:r w:rsidRPr="006710FB">
        <w:rPr>
          <w:rFonts w:cs="Arial"/>
          <w:iCs/>
          <w:lang w:val="en-US"/>
        </w:rPr>
        <w:t xml:space="preserve"> which highlights the fact that only a limited number of CSOs and no </w:t>
      </w:r>
      <w:r w:rsidRPr="006710FB">
        <w:rPr>
          <w:rFonts w:cs="Arial"/>
          <w:lang w:val="en-US"/>
        </w:rPr>
        <w:t>private sector stakeholders</w:t>
      </w:r>
      <w:r w:rsidRPr="006710FB">
        <w:rPr>
          <w:rFonts w:cs="Arial"/>
          <w:iCs/>
          <w:lang w:val="en-US"/>
        </w:rPr>
        <w:t xml:space="preserve"> were consulted on the original Action Plan, adopted in September 2012, that public awareness about the OGP was low in the country and that no platform for ongoing discussions about OGP and the Action Plan was ever established. </w:t>
      </w:r>
    </w:p>
    <w:p w:rsidR="005E0131" w:rsidRPr="006710FB" w:rsidRDefault="005E0131" w:rsidP="00A3399E">
      <w:pPr>
        <w:spacing w:after="0" w:line="240" w:lineRule="auto"/>
        <w:jc w:val="both"/>
        <w:rPr>
          <w:rFonts w:cs="Arial"/>
          <w:lang w:val="en-US"/>
        </w:rPr>
      </w:pPr>
    </w:p>
    <w:p w:rsidR="005E0131" w:rsidRPr="006710FB" w:rsidRDefault="005E0131" w:rsidP="00A3399E">
      <w:pPr>
        <w:spacing w:after="0" w:line="240" w:lineRule="auto"/>
        <w:jc w:val="both"/>
        <w:rPr>
          <w:rFonts w:cs="Arial"/>
          <w:b/>
          <w:lang w:val="en-US"/>
        </w:rPr>
      </w:pPr>
      <w:r w:rsidRPr="006710FB">
        <w:rPr>
          <w:rFonts w:cs="Arial"/>
          <w:b/>
          <w:lang w:val="en-US"/>
        </w:rPr>
        <w:t>Recommendations</w:t>
      </w:r>
    </w:p>
    <w:p w:rsidR="00A3399E" w:rsidRPr="006710FB" w:rsidRDefault="00A3399E" w:rsidP="00A3399E">
      <w:pPr>
        <w:spacing w:after="0" w:line="240" w:lineRule="auto"/>
        <w:jc w:val="both"/>
        <w:rPr>
          <w:rFonts w:cs="Arial"/>
          <w:lang w:val="en-US"/>
        </w:rPr>
      </w:pPr>
    </w:p>
    <w:p w:rsidR="007870A3" w:rsidRPr="006710FB" w:rsidRDefault="008D42D7" w:rsidP="00A3399E">
      <w:pPr>
        <w:spacing w:after="0" w:line="240" w:lineRule="auto"/>
        <w:jc w:val="both"/>
        <w:rPr>
          <w:rFonts w:cs="Arial"/>
          <w:lang w:val="en-US"/>
        </w:rPr>
      </w:pPr>
      <w:r w:rsidRPr="006710FB">
        <w:rPr>
          <w:rFonts w:cs="Arial"/>
          <w:lang w:val="en-US"/>
        </w:rPr>
        <w:t xml:space="preserve">In light of the above, we ask for swift action by the OGP Steering Committee to re-establish the necessary space for civil society actors to </w:t>
      </w:r>
      <w:r w:rsidR="00E500F9" w:rsidRPr="006710FB">
        <w:rPr>
          <w:rFonts w:cs="Arial"/>
          <w:lang w:val="en-US"/>
        </w:rPr>
        <w:t xml:space="preserve">operate freely and independently in Azerbaijan, including so as </w:t>
      </w:r>
      <w:proofErr w:type="gramStart"/>
      <w:r w:rsidR="00E500F9" w:rsidRPr="006710FB">
        <w:rPr>
          <w:rFonts w:cs="Arial"/>
          <w:lang w:val="en-US"/>
        </w:rPr>
        <w:t>to be</w:t>
      </w:r>
      <w:proofErr w:type="gramEnd"/>
      <w:r w:rsidR="00E500F9" w:rsidRPr="006710FB">
        <w:rPr>
          <w:rFonts w:cs="Arial"/>
          <w:lang w:val="en-US"/>
        </w:rPr>
        <w:t xml:space="preserve"> able to </w:t>
      </w:r>
      <w:r w:rsidRPr="006710FB">
        <w:rPr>
          <w:rFonts w:cs="Arial"/>
          <w:lang w:val="en-US"/>
        </w:rPr>
        <w:t xml:space="preserve">participate </w:t>
      </w:r>
      <w:r w:rsidR="00E500F9" w:rsidRPr="006710FB">
        <w:rPr>
          <w:rFonts w:cs="Arial"/>
          <w:lang w:val="en-US"/>
        </w:rPr>
        <w:t xml:space="preserve">in </w:t>
      </w:r>
      <w:r w:rsidRPr="006710FB">
        <w:rPr>
          <w:rFonts w:cs="Arial"/>
          <w:lang w:val="en-US"/>
        </w:rPr>
        <w:t xml:space="preserve">and influence </w:t>
      </w:r>
      <w:r w:rsidR="00E500F9" w:rsidRPr="006710FB">
        <w:rPr>
          <w:rFonts w:cs="Arial"/>
          <w:lang w:val="en-US"/>
        </w:rPr>
        <w:t>Azerbaijan’s OGP</w:t>
      </w:r>
      <w:r w:rsidRPr="006710FB">
        <w:rPr>
          <w:rFonts w:cs="Arial"/>
          <w:lang w:val="en-US"/>
        </w:rPr>
        <w:t xml:space="preserve"> Action Plan. </w:t>
      </w:r>
      <w:r w:rsidR="0014685F" w:rsidRPr="006710FB">
        <w:rPr>
          <w:rFonts w:cs="Arial"/>
          <w:lang w:val="en-US"/>
        </w:rPr>
        <w:t xml:space="preserve">In particular, we urge the Committee to </w:t>
      </w:r>
      <w:r w:rsidR="000C6AF2" w:rsidRPr="006710FB">
        <w:rPr>
          <w:rFonts w:cs="Arial"/>
          <w:lang w:val="en-US"/>
        </w:rPr>
        <w:t xml:space="preserve">call on the Azeri government to take the necessary actions to implement </w:t>
      </w:r>
      <w:r w:rsidR="007870A3" w:rsidRPr="006710FB">
        <w:rPr>
          <w:rFonts w:cs="Arial"/>
          <w:lang w:val="en-US"/>
        </w:rPr>
        <w:t>the following points:</w:t>
      </w:r>
    </w:p>
    <w:p w:rsidR="00C00F67" w:rsidRPr="006710FB" w:rsidRDefault="007870A3" w:rsidP="007870A3">
      <w:pPr>
        <w:pStyle w:val="ListParagraph"/>
        <w:numPr>
          <w:ilvl w:val="0"/>
          <w:numId w:val="7"/>
        </w:numPr>
        <w:jc w:val="both"/>
        <w:rPr>
          <w:rFonts w:cs="Arial"/>
          <w:sz w:val="22"/>
          <w:szCs w:val="22"/>
        </w:rPr>
      </w:pPr>
      <w:r w:rsidRPr="006710FB">
        <w:rPr>
          <w:rFonts w:cs="Arial"/>
          <w:sz w:val="22"/>
          <w:szCs w:val="22"/>
        </w:rPr>
        <w:lastRenderedPageBreak/>
        <w:t>Azerbaijan’s</w:t>
      </w:r>
      <w:r w:rsidR="0014685F" w:rsidRPr="006710FB">
        <w:rPr>
          <w:rFonts w:cs="Arial"/>
          <w:sz w:val="22"/>
          <w:szCs w:val="22"/>
        </w:rPr>
        <w:t xml:space="preserve"> second Action Plan </w:t>
      </w:r>
      <w:r w:rsidR="00FD62BB" w:rsidRPr="006710FB">
        <w:rPr>
          <w:rFonts w:cs="Arial"/>
          <w:sz w:val="22"/>
          <w:szCs w:val="22"/>
        </w:rPr>
        <w:t xml:space="preserve">should include commitments </w:t>
      </w:r>
      <w:r w:rsidRPr="006710FB">
        <w:rPr>
          <w:rFonts w:cs="Arial"/>
          <w:sz w:val="22"/>
          <w:szCs w:val="22"/>
        </w:rPr>
        <w:t xml:space="preserve">to significantly </w:t>
      </w:r>
      <w:r w:rsidR="0014685F" w:rsidRPr="006710FB">
        <w:rPr>
          <w:rFonts w:cs="Arial"/>
          <w:sz w:val="22"/>
          <w:szCs w:val="22"/>
        </w:rPr>
        <w:t>improve the ability of not-for-profit and civil society organizations to operate</w:t>
      </w:r>
      <w:r w:rsidRPr="006710FB">
        <w:rPr>
          <w:rFonts w:cs="Arial"/>
          <w:sz w:val="22"/>
          <w:szCs w:val="22"/>
        </w:rPr>
        <w:t xml:space="preserve"> freely and independently.</w:t>
      </w:r>
    </w:p>
    <w:p w:rsidR="00C00F67" w:rsidRPr="006710FB" w:rsidRDefault="007870A3" w:rsidP="00A3399E">
      <w:pPr>
        <w:pStyle w:val="ListParagraph"/>
        <w:numPr>
          <w:ilvl w:val="0"/>
          <w:numId w:val="7"/>
        </w:numPr>
        <w:jc w:val="both"/>
        <w:rPr>
          <w:rFonts w:cs="Arial"/>
          <w:sz w:val="22"/>
          <w:szCs w:val="22"/>
        </w:rPr>
      </w:pPr>
      <w:r w:rsidRPr="006710FB">
        <w:rPr>
          <w:rFonts w:cs="Arial"/>
          <w:sz w:val="22"/>
          <w:szCs w:val="22"/>
        </w:rPr>
        <w:t xml:space="preserve">The government should take steps to remove the legal and </w:t>
      </w:r>
      <w:r w:rsidR="00C00F67" w:rsidRPr="006710FB">
        <w:rPr>
          <w:rFonts w:cs="Arial"/>
          <w:sz w:val="22"/>
          <w:szCs w:val="22"/>
        </w:rPr>
        <w:t xml:space="preserve">bureaucratic hurdles </w:t>
      </w:r>
      <w:r w:rsidRPr="006710FB">
        <w:rPr>
          <w:rFonts w:cs="Arial"/>
          <w:sz w:val="22"/>
          <w:szCs w:val="22"/>
        </w:rPr>
        <w:t xml:space="preserve">outlined above </w:t>
      </w:r>
      <w:r w:rsidR="00C00F67" w:rsidRPr="006710FB">
        <w:rPr>
          <w:rFonts w:cs="Arial"/>
          <w:sz w:val="22"/>
          <w:szCs w:val="22"/>
        </w:rPr>
        <w:t xml:space="preserve">that </w:t>
      </w:r>
      <w:r w:rsidRPr="006710FB">
        <w:rPr>
          <w:rFonts w:cs="Arial"/>
          <w:sz w:val="22"/>
          <w:szCs w:val="22"/>
        </w:rPr>
        <w:t xml:space="preserve">currently undermine </w:t>
      </w:r>
      <w:r w:rsidR="00C00F67" w:rsidRPr="006710FB">
        <w:rPr>
          <w:rFonts w:cs="Arial"/>
          <w:sz w:val="22"/>
          <w:szCs w:val="22"/>
        </w:rPr>
        <w:t>freedom of association</w:t>
      </w:r>
      <w:r w:rsidRPr="006710FB">
        <w:rPr>
          <w:rFonts w:cs="Arial"/>
          <w:sz w:val="22"/>
          <w:szCs w:val="22"/>
        </w:rPr>
        <w:t>. This implies that relevant laws should be amended to bring them into line with international standards, that implementation of those laws should respect international standards, including the idea that CSOs should not be subject to discretionary actions by government that limit their abil</w:t>
      </w:r>
      <w:r w:rsidR="000C6AF2" w:rsidRPr="006710FB">
        <w:rPr>
          <w:rFonts w:cs="Arial"/>
          <w:sz w:val="22"/>
          <w:szCs w:val="22"/>
        </w:rPr>
        <w:t>ity to function, and that extra-</w:t>
      </w:r>
      <w:r w:rsidRPr="006710FB">
        <w:rPr>
          <w:rFonts w:cs="Arial"/>
          <w:sz w:val="22"/>
          <w:szCs w:val="22"/>
        </w:rPr>
        <w:t>legal harassment of CSOs should end.</w:t>
      </w:r>
    </w:p>
    <w:p w:rsidR="00C00F67" w:rsidRPr="006710FB" w:rsidRDefault="007870A3" w:rsidP="00A3399E">
      <w:pPr>
        <w:pStyle w:val="ListParagraph"/>
        <w:numPr>
          <w:ilvl w:val="0"/>
          <w:numId w:val="7"/>
        </w:numPr>
        <w:jc w:val="both"/>
        <w:rPr>
          <w:rFonts w:cs="Arial"/>
          <w:sz w:val="22"/>
          <w:szCs w:val="22"/>
        </w:rPr>
      </w:pPr>
      <w:r w:rsidRPr="006710FB">
        <w:rPr>
          <w:rFonts w:cs="Arial"/>
          <w:sz w:val="22"/>
          <w:szCs w:val="22"/>
        </w:rPr>
        <w:t>The government should a</w:t>
      </w:r>
      <w:r w:rsidR="00FD62BB" w:rsidRPr="006710FB">
        <w:rPr>
          <w:rFonts w:cs="Arial"/>
          <w:sz w:val="22"/>
          <w:szCs w:val="22"/>
        </w:rPr>
        <w:t xml:space="preserve">llow </w:t>
      </w:r>
      <w:r w:rsidRPr="006710FB">
        <w:rPr>
          <w:rFonts w:cs="Arial"/>
          <w:sz w:val="22"/>
          <w:szCs w:val="22"/>
        </w:rPr>
        <w:t xml:space="preserve">CSOs to </w:t>
      </w:r>
      <w:r w:rsidR="00FD62BB" w:rsidRPr="006710FB">
        <w:rPr>
          <w:rFonts w:cs="Arial"/>
          <w:sz w:val="22"/>
          <w:szCs w:val="22"/>
        </w:rPr>
        <w:t>access</w:t>
      </w:r>
      <w:r w:rsidR="008D3A23" w:rsidRPr="006710FB">
        <w:rPr>
          <w:rFonts w:cs="Arial"/>
          <w:sz w:val="22"/>
          <w:szCs w:val="22"/>
        </w:rPr>
        <w:t xml:space="preserve"> and use </w:t>
      </w:r>
      <w:r w:rsidR="00173EA1" w:rsidRPr="006710FB">
        <w:rPr>
          <w:rFonts w:cs="Arial"/>
          <w:sz w:val="22"/>
          <w:szCs w:val="22"/>
        </w:rPr>
        <w:t>resources</w:t>
      </w:r>
      <w:r w:rsidR="005F4EE8" w:rsidRPr="006710FB">
        <w:rPr>
          <w:rFonts w:cs="Arial"/>
          <w:sz w:val="22"/>
          <w:szCs w:val="22"/>
        </w:rPr>
        <w:t xml:space="preserve"> freely</w:t>
      </w:r>
      <w:r w:rsidRPr="006710FB">
        <w:rPr>
          <w:rFonts w:cs="Arial"/>
          <w:sz w:val="22"/>
          <w:szCs w:val="22"/>
        </w:rPr>
        <w:t xml:space="preserve">, including those provided from abroad, and, to this end, it should take the necessary steps to lift </w:t>
      </w:r>
      <w:r w:rsidR="008D3A23" w:rsidRPr="006710FB">
        <w:rPr>
          <w:rFonts w:cs="Arial"/>
          <w:sz w:val="22"/>
          <w:szCs w:val="22"/>
        </w:rPr>
        <w:t xml:space="preserve">the court-ordered </w:t>
      </w:r>
      <w:r w:rsidR="000C6AF2" w:rsidRPr="006710FB">
        <w:rPr>
          <w:rFonts w:cs="Arial"/>
          <w:sz w:val="22"/>
          <w:szCs w:val="22"/>
        </w:rPr>
        <w:t xml:space="preserve">freezes of the </w:t>
      </w:r>
      <w:r w:rsidR="008D3A23" w:rsidRPr="006710FB">
        <w:rPr>
          <w:rFonts w:cs="Arial"/>
          <w:sz w:val="22"/>
          <w:szCs w:val="22"/>
        </w:rPr>
        <w:t>bank a</w:t>
      </w:r>
      <w:r w:rsidRPr="006710FB">
        <w:rPr>
          <w:rFonts w:cs="Arial"/>
          <w:sz w:val="22"/>
          <w:szCs w:val="22"/>
        </w:rPr>
        <w:t>ccount</w:t>
      </w:r>
      <w:r w:rsidR="005F4EE8" w:rsidRPr="006710FB">
        <w:rPr>
          <w:rFonts w:cs="Arial"/>
          <w:sz w:val="22"/>
          <w:szCs w:val="22"/>
        </w:rPr>
        <w:t>s</w:t>
      </w:r>
      <w:r w:rsidR="008D3A23" w:rsidRPr="006710FB">
        <w:rPr>
          <w:rFonts w:cs="Arial"/>
          <w:sz w:val="22"/>
          <w:szCs w:val="22"/>
        </w:rPr>
        <w:t xml:space="preserve"> </w:t>
      </w:r>
      <w:r w:rsidRPr="006710FB">
        <w:rPr>
          <w:rFonts w:cs="Arial"/>
          <w:sz w:val="22"/>
          <w:szCs w:val="22"/>
        </w:rPr>
        <w:t>of civil society organiz</w:t>
      </w:r>
      <w:r w:rsidR="008D3A23" w:rsidRPr="006710FB">
        <w:rPr>
          <w:rFonts w:cs="Arial"/>
          <w:sz w:val="22"/>
          <w:szCs w:val="22"/>
        </w:rPr>
        <w:t>ations</w:t>
      </w:r>
      <w:r w:rsidR="000C6AF2" w:rsidRPr="006710FB">
        <w:rPr>
          <w:rFonts w:cs="Arial"/>
          <w:sz w:val="22"/>
          <w:szCs w:val="22"/>
        </w:rPr>
        <w:t xml:space="preserve"> and activists</w:t>
      </w:r>
      <w:r w:rsidR="00EB5AE4" w:rsidRPr="006710FB">
        <w:rPr>
          <w:rFonts w:cs="Arial"/>
          <w:sz w:val="22"/>
          <w:szCs w:val="22"/>
        </w:rPr>
        <w:t xml:space="preserve">, </w:t>
      </w:r>
      <w:r w:rsidRPr="006710FB">
        <w:rPr>
          <w:rFonts w:cs="Arial"/>
          <w:sz w:val="22"/>
          <w:szCs w:val="22"/>
        </w:rPr>
        <w:t xml:space="preserve">limit or </w:t>
      </w:r>
      <w:r w:rsidR="005F4EE8" w:rsidRPr="006710FB">
        <w:rPr>
          <w:rFonts w:cs="Arial"/>
          <w:sz w:val="22"/>
          <w:szCs w:val="22"/>
        </w:rPr>
        <w:t>abolish</w:t>
      </w:r>
      <w:r w:rsidRPr="006710FB">
        <w:rPr>
          <w:rFonts w:cs="Arial"/>
          <w:sz w:val="22"/>
          <w:szCs w:val="22"/>
        </w:rPr>
        <w:t xml:space="preserve"> the requirements regarding </w:t>
      </w:r>
      <w:r w:rsidR="00EB5AE4" w:rsidRPr="006710FB">
        <w:rPr>
          <w:rFonts w:cs="Arial"/>
          <w:sz w:val="22"/>
          <w:szCs w:val="22"/>
        </w:rPr>
        <w:t xml:space="preserve">registration of </w:t>
      </w:r>
      <w:r w:rsidR="000C6AF2" w:rsidRPr="006710FB">
        <w:rPr>
          <w:rFonts w:cs="Arial"/>
          <w:sz w:val="22"/>
          <w:szCs w:val="22"/>
        </w:rPr>
        <w:t xml:space="preserve">individual </w:t>
      </w:r>
      <w:r w:rsidR="00EB5AE4" w:rsidRPr="006710FB">
        <w:rPr>
          <w:rFonts w:cs="Arial"/>
          <w:sz w:val="22"/>
          <w:szCs w:val="22"/>
        </w:rPr>
        <w:t xml:space="preserve">grants, </w:t>
      </w:r>
      <w:r w:rsidRPr="006710FB">
        <w:rPr>
          <w:rFonts w:cs="Arial"/>
          <w:sz w:val="22"/>
          <w:szCs w:val="22"/>
        </w:rPr>
        <w:t xml:space="preserve">and </w:t>
      </w:r>
      <w:r w:rsidR="00EB5AE4" w:rsidRPr="006710FB">
        <w:rPr>
          <w:rFonts w:cs="Arial"/>
          <w:sz w:val="22"/>
          <w:szCs w:val="22"/>
        </w:rPr>
        <w:t xml:space="preserve">revoke </w:t>
      </w:r>
      <w:r w:rsidRPr="006710FB">
        <w:rPr>
          <w:rFonts w:cs="Arial"/>
          <w:sz w:val="22"/>
          <w:szCs w:val="22"/>
        </w:rPr>
        <w:t xml:space="preserve">excessive </w:t>
      </w:r>
      <w:r w:rsidR="00EB5AE4" w:rsidRPr="006710FB">
        <w:rPr>
          <w:rFonts w:cs="Arial"/>
          <w:sz w:val="22"/>
          <w:szCs w:val="22"/>
        </w:rPr>
        <w:t>restrict</w:t>
      </w:r>
      <w:r w:rsidRPr="006710FB">
        <w:rPr>
          <w:rFonts w:cs="Arial"/>
          <w:sz w:val="22"/>
          <w:szCs w:val="22"/>
        </w:rPr>
        <w:t>ions on</w:t>
      </w:r>
      <w:r w:rsidR="00EB5AE4" w:rsidRPr="006710FB">
        <w:rPr>
          <w:rFonts w:cs="Arial"/>
          <w:sz w:val="22"/>
          <w:szCs w:val="22"/>
        </w:rPr>
        <w:t xml:space="preserve"> foreign donors </w:t>
      </w:r>
      <w:r w:rsidR="005F4EE8" w:rsidRPr="006710FB">
        <w:rPr>
          <w:rFonts w:cs="Arial"/>
          <w:sz w:val="22"/>
          <w:szCs w:val="22"/>
        </w:rPr>
        <w:t>being allowed to make</w:t>
      </w:r>
      <w:r w:rsidR="00EB5AE4" w:rsidRPr="006710FB">
        <w:rPr>
          <w:rFonts w:cs="Arial"/>
          <w:sz w:val="22"/>
          <w:szCs w:val="22"/>
        </w:rPr>
        <w:t xml:space="preserve"> grants to local CSOs.</w:t>
      </w:r>
      <w:r w:rsidR="008D3A23" w:rsidRPr="006710FB">
        <w:rPr>
          <w:rFonts w:cs="Arial"/>
          <w:sz w:val="22"/>
          <w:szCs w:val="22"/>
        </w:rPr>
        <w:t xml:space="preserve"> </w:t>
      </w:r>
    </w:p>
    <w:p w:rsidR="007870A3" w:rsidRPr="006710FB" w:rsidRDefault="007870A3" w:rsidP="00A3399E">
      <w:pPr>
        <w:pStyle w:val="ListParagraph"/>
        <w:numPr>
          <w:ilvl w:val="0"/>
          <w:numId w:val="7"/>
        </w:numPr>
        <w:jc w:val="both"/>
        <w:rPr>
          <w:rFonts w:cs="Arial"/>
          <w:sz w:val="22"/>
          <w:szCs w:val="22"/>
        </w:rPr>
      </w:pPr>
      <w:r w:rsidRPr="006710FB">
        <w:rPr>
          <w:rFonts w:cs="Arial"/>
          <w:sz w:val="22"/>
          <w:szCs w:val="22"/>
        </w:rPr>
        <w:t>The government should take steps to r</w:t>
      </w:r>
      <w:r w:rsidR="00C00F67" w:rsidRPr="006710FB">
        <w:rPr>
          <w:rFonts w:cs="Arial"/>
          <w:sz w:val="22"/>
          <w:szCs w:val="22"/>
        </w:rPr>
        <w:t xml:space="preserve">estore an environment in which </w:t>
      </w:r>
      <w:r w:rsidR="00766517" w:rsidRPr="006710FB">
        <w:rPr>
          <w:rFonts w:cs="Arial"/>
          <w:sz w:val="22"/>
          <w:szCs w:val="22"/>
        </w:rPr>
        <w:t>civil society</w:t>
      </w:r>
      <w:r w:rsidR="00C00F67" w:rsidRPr="006710FB">
        <w:rPr>
          <w:rFonts w:cs="Arial"/>
          <w:sz w:val="22"/>
          <w:szCs w:val="22"/>
        </w:rPr>
        <w:t xml:space="preserve"> actors feel free to speak out open</w:t>
      </w:r>
      <w:r w:rsidRPr="006710FB">
        <w:rPr>
          <w:rFonts w:cs="Arial"/>
          <w:sz w:val="22"/>
          <w:szCs w:val="22"/>
        </w:rPr>
        <w:t>ly, including about</w:t>
      </w:r>
      <w:r w:rsidR="00C00F67" w:rsidRPr="006710FB">
        <w:rPr>
          <w:rFonts w:cs="Arial"/>
          <w:sz w:val="22"/>
          <w:szCs w:val="22"/>
        </w:rPr>
        <w:t xml:space="preserve"> government</w:t>
      </w:r>
      <w:r w:rsidR="000C6AF2" w:rsidRPr="006710FB">
        <w:rPr>
          <w:rFonts w:cs="Arial"/>
          <w:sz w:val="22"/>
          <w:szCs w:val="22"/>
        </w:rPr>
        <w:t xml:space="preserve"> transparenc</w:t>
      </w:r>
      <w:r w:rsidRPr="006710FB">
        <w:rPr>
          <w:rFonts w:cs="Arial"/>
          <w:sz w:val="22"/>
          <w:szCs w:val="22"/>
        </w:rPr>
        <w:t>y and accountability. This should include releasing</w:t>
      </w:r>
      <w:r w:rsidR="00766517" w:rsidRPr="006710FB">
        <w:rPr>
          <w:rFonts w:cs="Arial"/>
          <w:sz w:val="22"/>
          <w:szCs w:val="22"/>
        </w:rPr>
        <w:t xml:space="preserve"> civil society activists and journalists </w:t>
      </w:r>
      <w:r w:rsidRPr="006710FB">
        <w:rPr>
          <w:rFonts w:cs="Arial"/>
          <w:sz w:val="22"/>
          <w:szCs w:val="22"/>
        </w:rPr>
        <w:t>who have been imprisoned for their work and expressions</w:t>
      </w:r>
      <w:r w:rsidR="000C6AF2" w:rsidRPr="006710FB">
        <w:rPr>
          <w:rFonts w:cs="Arial"/>
          <w:sz w:val="22"/>
          <w:szCs w:val="22"/>
        </w:rPr>
        <w:t>,</w:t>
      </w:r>
      <w:r w:rsidRPr="006710FB">
        <w:rPr>
          <w:rFonts w:cs="Arial"/>
          <w:sz w:val="22"/>
          <w:szCs w:val="22"/>
        </w:rPr>
        <w:t xml:space="preserve"> and ending the </w:t>
      </w:r>
      <w:r w:rsidR="008D3A23" w:rsidRPr="006710FB">
        <w:rPr>
          <w:rFonts w:cs="Arial"/>
          <w:sz w:val="22"/>
          <w:szCs w:val="22"/>
        </w:rPr>
        <w:t>harassment</w:t>
      </w:r>
      <w:r w:rsidR="00BF64DF" w:rsidRPr="006710FB">
        <w:rPr>
          <w:rFonts w:cs="Arial"/>
          <w:sz w:val="22"/>
          <w:szCs w:val="22"/>
        </w:rPr>
        <w:t xml:space="preserve"> of NGO leaders</w:t>
      </w:r>
      <w:r w:rsidR="008D3A23" w:rsidRPr="006710FB">
        <w:rPr>
          <w:rFonts w:cs="Arial"/>
          <w:sz w:val="22"/>
          <w:szCs w:val="22"/>
        </w:rPr>
        <w:t xml:space="preserve"> </w:t>
      </w:r>
      <w:r w:rsidRPr="006710FB">
        <w:rPr>
          <w:rFonts w:cs="Arial"/>
          <w:sz w:val="22"/>
          <w:szCs w:val="22"/>
        </w:rPr>
        <w:t>by the Prosecutor General’s office</w:t>
      </w:r>
      <w:r w:rsidR="00E93251" w:rsidRPr="006710FB">
        <w:rPr>
          <w:rFonts w:cs="Arial"/>
          <w:sz w:val="22"/>
          <w:szCs w:val="22"/>
        </w:rPr>
        <w:t xml:space="preserve"> and tax authorities</w:t>
      </w:r>
      <w:r w:rsidRPr="006710FB">
        <w:rPr>
          <w:rFonts w:cs="Arial"/>
          <w:sz w:val="22"/>
          <w:szCs w:val="22"/>
        </w:rPr>
        <w:t>.</w:t>
      </w:r>
    </w:p>
    <w:p w:rsidR="00BE4E74" w:rsidRPr="006710FB" w:rsidRDefault="007870A3" w:rsidP="00BE4E74">
      <w:pPr>
        <w:pStyle w:val="ListParagraph"/>
        <w:numPr>
          <w:ilvl w:val="0"/>
          <w:numId w:val="7"/>
        </w:numPr>
        <w:jc w:val="both"/>
        <w:rPr>
          <w:rFonts w:cs="Arial"/>
          <w:sz w:val="22"/>
          <w:szCs w:val="22"/>
        </w:rPr>
      </w:pPr>
      <w:r w:rsidRPr="006710FB">
        <w:rPr>
          <w:rFonts w:cs="Arial"/>
          <w:sz w:val="22"/>
          <w:szCs w:val="22"/>
        </w:rPr>
        <w:t>The government should implement the recommendations of the OGP Independent Reporting Mechanism relating to public participation when developing and implementing its second Action Plan.</w:t>
      </w:r>
    </w:p>
    <w:p w:rsidR="00BE4E74" w:rsidRPr="006710FB" w:rsidRDefault="00BE4E74" w:rsidP="00BE4E74">
      <w:pPr>
        <w:spacing w:after="0" w:line="240" w:lineRule="auto"/>
        <w:jc w:val="both"/>
        <w:rPr>
          <w:rFonts w:cs="Arial"/>
          <w:lang w:val="en-US"/>
        </w:rPr>
      </w:pPr>
    </w:p>
    <w:p w:rsidR="007870A3" w:rsidRPr="006710FB" w:rsidRDefault="007870A3" w:rsidP="00A3399E">
      <w:pPr>
        <w:spacing w:after="0" w:line="240" w:lineRule="auto"/>
        <w:jc w:val="both"/>
        <w:rPr>
          <w:rFonts w:cs="Arial"/>
          <w:lang w:val="en-US"/>
        </w:rPr>
      </w:pPr>
    </w:p>
    <w:p w:rsidR="008D42D7" w:rsidRPr="006710FB" w:rsidRDefault="008D42D7" w:rsidP="00A3399E">
      <w:pPr>
        <w:spacing w:after="0" w:line="240" w:lineRule="auto"/>
        <w:jc w:val="both"/>
        <w:rPr>
          <w:rFonts w:cs="Arial"/>
          <w:lang w:val="en-US"/>
        </w:rPr>
      </w:pPr>
      <w:r w:rsidRPr="006710FB">
        <w:rPr>
          <w:rFonts w:cs="Arial"/>
          <w:lang w:val="en-US"/>
        </w:rPr>
        <w:t xml:space="preserve">We </w:t>
      </w:r>
      <w:r w:rsidR="007870A3" w:rsidRPr="006710FB">
        <w:rPr>
          <w:rFonts w:cs="Arial"/>
          <w:lang w:val="en-US"/>
        </w:rPr>
        <w:t xml:space="preserve">thank the </w:t>
      </w:r>
      <w:r w:rsidR="00B0610E" w:rsidRPr="006710FB">
        <w:rPr>
          <w:rFonts w:cs="Arial"/>
          <w:lang w:val="en-US"/>
        </w:rPr>
        <w:t xml:space="preserve">OGP </w:t>
      </w:r>
      <w:r w:rsidR="007870A3" w:rsidRPr="006710FB">
        <w:rPr>
          <w:rFonts w:cs="Arial"/>
          <w:lang w:val="en-US"/>
        </w:rPr>
        <w:t xml:space="preserve">Steering Committee for its prompt attention to this urgent and important matter. </w:t>
      </w:r>
      <w:r w:rsidR="00B0610E" w:rsidRPr="006710FB">
        <w:rPr>
          <w:rFonts w:cs="Arial"/>
          <w:lang w:val="en-US"/>
        </w:rPr>
        <w:t xml:space="preserve">We sincerely hope that you can, in </w:t>
      </w:r>
      <w:r w:rsidR="000C6AF2" w:rsidRPr="006710FB">
        <w:rPr>
          <w:rFonts w:cs="Arial"/>
          <w:lang w:val="en-US"/>
        </w:rPr>
        <w:t xml:space="preserve">the case of </w:t>
      </w:r>
      <w:r w:rsidR="00B0610E" w:rsidRPr="006710FB">
        <w:rPr>
          <w:rFonts w:cs="Arial"/>
          <w:lang w:val="en-US"/>
        </w:rPr>
        <w:t xml:space="preserve">Azerbaijan, do exactly what the </w:t>
      </w:r>
      <w:r w:rsidR="000C6AF2" w:rsidRPr="006710FB">
        <w:rPr>
          <w:rFonts w:cs="Arial"/>
          <w:lang w:val="en-US"/>
        </w:rPr>
        <w:t xml:space="preserve">OGP </w:t>
      </w:r>
      <w:r w:rsidR="00B0610E" w:rsidRPr="006710FB">
        <w:rPr>
          <w:rFonts w:cs="Arial"/>
          <w:lang w:val="en-US"/>
        </w:rPr>
        <w:t xml:space="preserve">response policy aims for, namely help establish a positive environment for government and civil society collaboration. </w:t>
      </w:r>
      <w:r w:rsidR="007870A3" w:rsidRPr="006710FB">
        <w:rPr>
          <w:rFonts w:cs="Arial"/>
          <w:lang w:val="en-US"/>
        </w:rPr>
        <w:t xml:space="preserve">We are ready to provide any </w:t>
      </w:r>
      <w:r w:rsidRPr="006710FB">
        <w:rPr>
          <w:rFonts w:cs="Arial"/>
          <w:lang w:val="en-US"/>
        </w:rPr>
        <w:t xml:space="preserve">additional information or </w:t>
      </w:r>
      <w:r w:rsidR="0097365C" w:rsidRPr="006710FB">
        <w:rPr>
          <w:rFonts w:cs="Arial"/>
          <w:lang w:val="en-US"/>
        </w:rPr>
        <w:t xml:space="preserve">support </w:t>
      </w:r>
      <w:r w:rsidRPr="006710FB">
        <w:rPr>
          <w:rFonts w:cs="Arial"/>
          <w:lang w:val="en-US"/>
        </w:rPr>
        <w:t xml:space="preserve">that the OGP </w:t>
      </w:r>
      <w:r w:rsidR="0097365C" w:rsidRPr="006710FB">
        <w:rPr>
          <w:rFonts w:cs="Arial"/>
          <w:lang w:val="en-US"/>
        </w:rPr>
        <w:t xml:space="preserve">may need to </w:t>
      </w:r>
      <w:r w:rsidR="00B0610E" w:rsidRPr="006710FB">
        <w:rPr>
          <w:rFonts w:cs="Arial"/>
          <w:lang w:val="en-US"/>
        </w:rPr>
        <w:t>achieve this overriding goal</w:t>
      </w:r>
      <w:r w:rsidRPr="006710FB">
        <w:rPr>
          <w:rFonts w:cs="Arial"/>
          <w:lang w:val="en-US"/>
        </w:rPr>
        <w:t>.</w:t>
      </w:r>
    </w:p>
    <w:p w:rsidR="008D42D7" w:rsidRPr="006710FB" w:rsidRDefault="008D42D7" w:rsidP="00A3399E">
      <w:pPr>
        <w:spacing w:after="0" w:line="240" w:lineRule="auto"/>
        <w:jc w:val="both"/>
        <w:rPr>
          <w:rFonts w:cs="Arial"/>
          <w:lang w:val="en-US"/>
        </w:rPr>
      </w:pPr>
    </w:p>
    <w:p w:rsidR="006710FB" w:rsidRDefault="006710FB" w:rsidP="00A3399E">
      <w:pPr>
        <w:spacing w:after="0" w:line="240" w:lineRule="auto"/>
        <w:jc w:val="both"/>
        <w:rPr>
          <w:rFonts w:cs="Arial"/>
          <w:b/>
          <w:lang w:val="en-US"/>
        </w:rPr>
      </w:pPr>
      <w:r>
        <w:rPr>
          <w:rFonts w:cs="Arial"/>
          <w:lang w:val="en-US"/>
        </w:rPr>
        <w:t>Yours sincerely</w:t>
      </w:r>
      <w:r w:rsidR="008D42D7" w:rsidRPr="006710FB">
        <w:rPr>
          <w:rFonts w:cs="Arial"/>
          <w:lang w:val="en-US"/>
        </w:rPr>
        <w:t>,</w:t>
      </w:r>
    </w:p>
    <w:p w:rsidR="006710FB" w:rsidRPr="006710FB" w:rsidRDefault="006710FB" w:rsidP="00A3399E">
      <w:pPr>
        <w:spacing w:after="0" w:line="240" w:lineRule="auto"/>
        <w:jc w:val="both"/>
        <w:rPr>
          <w:rFonts w:cs="Arial"/>
          <w:b/>
          <w:lang w:val="en-US"/>
        </w:rPr>
      </w:pPr>
    </w:p>
    <w:p w:rsidR="006710FB" w:rsidRDefault="006710FB" w:rsidP="00A3399E">
      <w:pPr>
        <w:spacing w:after="0" w:line="240" w:lineRule="auto"/>
        <w:jc w:val="both"/>
        <w:rPr>
          <w:rFonts w:cs="Arial"/>
          <w:lang w:val="en-US"/>
        </w:rPr>
        <w:sectPr w:rsidR="006710FB" w:rsidSect="0073448A">
          <w:pgSz w:w="11906" w:h="16838"/>
          <w:pgMar w:top="1440" w:right="1440" w:bottom="1440" w:left="1440" w:header="708" w:footer="708" w:gutter="0"/>
          <w:cols w:space="708"/>
          <w:docGrid w:linePitch="360"/>
        </w:sectPr>
      </w:pPr>
    </w:p>
    <w:p w:rsidR="00157F13" w:rsidRDefault="00157F13" w:rsidP="00157F13">
      <w:pPr>
        <w:spacing w:after="0" w:line="240" w:lineRule="auto"/>
        <w:rPr>
          <w:rFonts w:cs="Arial"/>
          <w:b/>
          <w:lang w:val="en-US"/>
        </w:rPr>
      </w:pPr>
      <w:r w:rsidRPr="00157F13">
        <w:rPr>
          <w:rFonts w:cs="Arial"/>
          <w:lang w:val="en-US"/>
        </w:rPr>
        <w:lastRenderedPageBreak/>
        <w:t xml:space="preserve">Dr Danny </w:t>
      </w:r>
      <w:proofErr w:type="spellStart"/>
      <w:r w:rsidRPr="00157F13">
        <w:rPr>
          <w:rFonts w:cs="Arial"/>
          <w:lang w:val="en-US"/>
        </w:rPr>
        <w:t>Sriskandarajah</w:t>
      </w:r>
      <w:proofErr w:type="spellEnd"/>
      <w:r w:rsidRPr="00157F13">
        <w:rPr>
          <w:rFonts w:cs="Arial"/>
          <w:b/>
          <w:lang w:val="en-US"/>
        </w:rPr>
        <w:t xml:space="preserve">, </w:t>
      </w:r>
    </w:p>
    <w:p w:rsidR="00157F13" w:rsidRDefault="00157F13" w:rsidP="00157F13">
      <w:pPr>
        <w:spacing w:after="0" w:line="240" w:lineRule="auto"/>
        <w:rPr>
          <w:rFonts w:cs="Arial"/>
          <w:b/>
          <w:lang w:val="en-US"/>
        </w:rPr>
      </w:pPr>
    </w:p>
    <w:p w:rsidR="006710FB" w:rsidRDefault="00157F13" w:rsidP="00157F13">
      <w:pPr>
        <w:spacing w:after="0" w:line="240" w:lineRule="auto"/>
        <w:rPr>
          <w:rFonts w:cs="Arial"/>
          <w:b/>
          <w:lang w:val="en-US"/>
        </w:rPr>
      </w:pPr>
      <w:r w:rsidRPr="00157F13">
        <w:rPr>
          <w:rFonts w:cs="Arial"/>
          <w:b/>
          <w:lang w:val="en-US"/>
        </w:rPr>
        <w:t>Secretary General</w:t>
      </w:r>
      <w:r>
        <w:rPr>
          <w:rFonts w:cs="Arial"/>
          <w:b/>
          <w:lang w:val="en-US"/>
        </w:rPr>
        <w:t xml:space="preserve">, </w:t>
      </w:r>
      <w:r w:rsidR="00AD2BCC">
        <w:rPr>
          <w:rFonts w:cs="Arial"/>
          <w:b/>
          <w:lang w:val="en-US"/>
        </w:rPr>
        <w:t>CIVICUS</w:t>
      </w:r>
      <w:r w:rsidR="0098371D" w:rsidRPr="006710FB">
        <w:rPr>
          <w:rFonts w:cs="Arial"/>
          <w:b/>
          <w:lang w:val="en-US"/>
        </w:rPr>
        <w:t xml:space="preserve"> </w:t>
      </w:r>
    </w:p>
    <w:p w:rsidR="0098371D" w:rsidRPr="006710FB" w:rsidRDefault="0098371D" w:rsidP="00157F13">
      <w:pPr>
        <w:spacing w:after="0" w:line="240" w:lineRule="auto"/>
        <w:rPr>
          <w:rFonts w:cs="Arial"/>
          <w:b/>
          <w:lang w:val="en-US"/>
        </w:rPr>
      </w:pPr>
      <w:r w:rsidRPr="006710FB">
        <w:rPr>
          <w:rFonts w:cs="Arial"/>
          <w:b/>
          <w:lang w:val="en-US"/>
        </w:rPr>
        <w:t>World Alliance for Citizen Participation</w:t>
      </w:r>
    </w:p>
    <w:p w:rsidR="00157F13" w:rsidRDefault="00157F13" w:rsidP="00157F13">
      <w:pPr>
        <w:spacing w:after="0" w:line="240" w:lineRule="auto"/>
        <w:rPr>
          <w:rFonts w:cs="Arial"/>
          <w:b/>
          <w:lang w:val="en-US"/>
        </w:rPr>
      </w:pPr>
      <w:r w:rsidRPr="00157F13">
        <w:rPr>
          <w:rFonts w:cs="Arial"/>
          <w:lang w:val="en-US"/>
        </w:rPr>
        <w:lastRenderedPageBreak/>
        <w:t>Marinke van Riet</w:t>
      </w:r>
      <w:r>
        <w:rPr>
          <w:rFonts w:cs="Arial"/>
          <w:b/>
          <w:lang w:val="en-US"/>
        </w:rPr>
        <w:t xml:space="preserve">, </w:t>
      </w:r>
    </w:p>
    <w:p w:rsidR="00157F13" w:rsidRDefault="00157F13" w:rsidP="00157F13">
      <w:pPr>
        <w:spacing w:after="0" w:line="240" w:lineRule="auto"/>
        <w:rPr>
          <w:rFonts w:cs="Arial"/>
          <w:b/>
          <w:lang w:val="en-US"/>
        </w:rPr>
      </w:pPr>
    </w:p>
    <w:p w:rsidR="00157F13" w:rsidRDefault="00157F13" w:rsidP="00157F13">
      <w:pPr>
        <w:spacing w:after="0" w:line="240" w:lineRule="auto"/>
        <w:rPr>
          <w:rFonts w:cs="Arial"/>
          <w:b/>
          <w:lang w:val="en-US"/>
        </w:rPr>
      </w:pPr>
      <w:r>
        <w:rPr>
          <w:rFonts w:cs="Arial"/>
          <w:b/>
          <w:lang w:val="en-US"/>
        </w:rPr>
        <w:t xml:space="preserve">International Director, </w:t>
      </w:r>
    </w:p>
    <w:p w:rsidR="00157F13" w:rsidRDefault="00157F13" w:rsidP="00157F13">
      <w:pPr>
        <w:spacing w:after="0" w:line="240" w:lineRule="auto"/>
        <w:rPr>
          <w:rFonts w:cs="Arial"/>
          <w:b/>
          <w:lang w:val="en-US"/>
        </w:rPr>
      </w:pPr>
      <w:r>
        <w:rPr>
          <w:rFonts w:cs="Arial"/>
          <w:b/>
          <w:lang w:val="en-US"/>
        </w:rPr>
        <w:t>Publish What You Pay</w:t>
      </w:r>
    </w:p>
    <w:p w:rsidR="00157F13" w:rsidRDefault="00157F13" w:rsidP="00F97141">
      <w:pPr>
        <w:spacing w:after="0" w:line="240" w:lineRule="auto"/>
        <w:jc w:val="both"/>
        <w:rPr>
          <w:rFonts w:cs="Arial"/>
          <w:b/>
          <w:lang w:val="en-US"/>
        </w:rPr>
      </w:pPr>
      <w:r w:rsidRPr="006710FB">
        <w:rPr>
          <w:rFonts w:cs="Arial"/>
          <w:noProof/>
          <w:lang w:eastAsia="fr-FR"/>
        </w:rPr>
        <w:drawing>
          <wp:anchor distT="0" distB="0" distL="114300" distR="114300" simplePos="0" relativeHeight="251658240" behindDoc="1" locked="0" layoutInCell="1" allowOverlap="1" wp14:anchorId="0666F022" wp14:editId="3617098A">
            <wp:simplePos x="0" y="0"/>
            <wp:positionH relativeFrom="column">
              <wp:posOffset>-27940</wp:posOffset>
            </wp:positionH>
            <wp:positionV relativeFrom="paragraph">
              <wp:posOffset>178435</wp:posOffset>
            </wp:positionV>
            <wp:extent cx="1571625" cy="1116965"/>
            <wp:effectExtent l="0" t="0" r="9525" b="6985"/>
            <wp:wrapTight wrapText="bothSides">
              <wp:wrapPolygon edited="0">
                <wp:start x="0" y="0"/>
                <wp:lineTo x="0" y="21367"/>
                <wp:lineTo x="21469" y="21367"/>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116965"/>
                    </a:xfrm>
                    <a:prstGeom prst="rect">
                      <a:avLst/>
                    </a:prstGeom>
                    <a:noFill/>
                  </pic:spPr>
                </pic:pic>
              </a:graphicData>
            </a:graphic>
            <wp14:sizeRelH relativeFrom="page">
              <wp14:pctWidth>0</wp14:pctWidth>
            </wp14:sizeRelH>
            <wp14:sizeRelV relativeFrom="page">
              <wp14:pctHeight>0</wp14:pctHeight>
            </wp14:sizeRelV>
          </wp:anchor>
        </w:drawing>
      </w:r>
    </w:p>
    <w:p w:rsidR="00157F13" w:rsidRDefault="00157F13" w:rsidP="00157F13">
      <w:pPr>
        <w:spacing w:after="0" w:line="240" w:lineRule="auto"/>
        <w:rPr>
          <w:rFonts w:cs="Arial"/>
          <w:b/>
          <w:lang w:val="en-US"/>
        </w:rPr>
      </w:pPr>
      <w:r w:rsidRPr="00157F13">
        <w:rPr>
          <w:rFonts w:cs="Arial"/>
          <w:lang w:val="en-US"/>
        </w:rPr>
        <w:lastRenderedPageBreak/>
        <w:t>Thomas Hughes</w:t>
      </w:r>
      <w:r>
        <w:rPr>
          <w:rFonts w:cs="Arial"/>
          <w:b/>
          <w:lang w:val="en-US"/>
        </w:rPr>
        <w:t xml:space="preserve">, </w:t>
      </w:r>
    </w:p>
    <w:p w:rsidR="00157F13" w:rsidRDefault="00157F13" w:rsidP="00157F13">
      <w:pPr>
        <w:spacing w:after="0" w:line="240" w:lineRule="auto"/>
        <w:rPr>
          <w:rFonts w:cs="Arial"/>
          <w:b/>
          <w:lang w:val="en-US"/>
        </w:rPr>
      </w:pPr>
    </w:p>
    <w:p w:rsidR="00F97141" w:rsidRDefault="00157F13" w:rsidP="00157F13">
      <w:pPr>
        <w:spacing w:after="0" w:line="240" w:lineRule="auto"/>
        <w:rPr>
          <w:rFonts w:cs="Arial"/>
          <w:b/>
          <w:lang w:val="en-US"/>
        </w:rPr>
      </w:pPr>
      <w:r>
        <w:rPr>
          <w:rFonts w:cs="Arial"/>
          <w:b/>
          <w:lang w:val="en-US"/>
        </w:rPr>
        <w:t>Executive Director,</w:t>
      </w:r>
      <w:r w:rsidRPr="00157F13">
        <w:rPr>
          <w:rFonts w:cs="Arial"/>
          <w:b/>
          <w:lang w:val="en-US"/>
        </w:rPr>
        <w:t xml:space="preserve"> </w:t>
      </w:r>
      <w:r w:rsidR="00F97141">
        <w:rPr>
          <w:rFonts w:cs="Arial"/>
          <w:b/>
          <w:lang w:val="en-US"/>
        </w:rPr>
        <w:t>Article 19</w:t>
      </w:r>
    </w:p>
    <w:p w:rsidR="00F97141" w:rsidRDefault="00F97141" w:rsidP="00F97141">
      <w:pPr>
        <w:rPr>
          <w:rFonts w:cs="Arial"/>
          <w:b/>
          <w:lang w:val="en-US"/>
        </w:rPr>
        <w:sectPr w:rsidR="00F97141" w:rsidSect="00F97141">
          <w:type w:val="continuous"/>
          <w:pgSz w:w="11906" w:h="16838"/>
          <w:pgMar w:top="1440" w:right="1440" w:bottom="1440" w:left="1440" w:header="708" w:footer="708" w:gutter="0"/>
          <w:cols w:num="3" w:space="708"/>
          <w:docGrid w:linePitch="360"/>
        </w:sectPr>
      </w:pPr>
    </w:p>
    <w:p w:rsidR="00157F13" w:rsidRDefault="00157F13" w:rsidP="00F97141">
      <w:pPr>
        <w:rPr>
          <w:rFonts w:cs="Arial"/>
          <w:b/>
          <w:lang w:val="en-US"/>
        </w:rPr>
      </w:pPr>
      <w:r w:rsidRPr="006710FB">
        <w:rPr>
          <w:noProof/>
          <w:color w:val="1F497D"/>
          <w:lang w:eastAsia="fr-FR"/>
        </w:rPr>
        <w:lastRenderedPageBreak/>
        <w:drawing>
          <wp:anchor distT="0" distB="0" distL="114300" distR="114300" simplePos="0" relativeHeight="251659264" behindDoc="0" locked="0" layoutInCell="1" allowOverlap="1" wp14:anchorId="4DD237F0" wp14:editId="14B8C4FC">
            <wp:simplePos x="0" y="0"/>
            <wp:positionH relativeFrom="column">
              <wp:posOffset>345440</wp:posOffset>
            </wp:positionH>
            <wp:positionV relativeFrom="paragraph">
              <wp:posOffset>210820</wp:posOffset>
            </wp:positionV>
            <wp:extent cx="815975" cy="736600"/>
            <wp:effectExtent l="0" t="0" r="3175" b="6350"/>
            <wp:wrapSquare wrapText="bothSides"/>
            <wp:docPr id="1" name="Picture 1" descr="cid:image001.png@01D054EB.DC6E0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054EB.DC6E05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15975" cy="7366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GoBack"/>
      <w:r>
        <w:rPr>
          <w:rFonts w:cs="Arial"/>
          <w:b/>
          <w:noProof/>
          <w:lang w:eastAsia="fr-FR"/>
        </w:rPr>
        <w:drawing>
          <wp:anchor distT="0" distB="0" distL="114300" distR="114300" simplePos="0" relativeHeight="251660288" behindDoc="1" locked="0" layoutInCell="1" allowOverlap="1" wp14:anchorId="7173D6C6" wp14:editId="04035AB3">
            <wp:simplePos x="0" y="0"/>
            <wp:positionH relativeFrom="column">
              <wp:posOffset>4184650</wp:posOffset>
            </wp:positionH>
            <wp:positionV relativeFrom="paragraph">
              <wp:posOffset>-635</wp:posOffset>
            </wp:positionV>
            <wp:extent cx="1621790" cy="831850"/>
            <wp:effectExtent l="0" t="0" r="0" b="6350"/>
            <wp:wrapTight wrapText="bothSides">
              <wp:wrapPolygon edited="0">
                <wp:start x="0" y="0"/>
                <wp:lineTo x="0" y="21270"/>
                <wp:lineTo x="21312" y="21270"/>
                <wp:lineTo x="2131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_19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1790" cy="831850"/>
                    </a:xfrm>
                    <a:prstGeom prst="rect">
                      <a:avLst/>
                    </a:prstGeom>
                  </pic:spPr>
                </pic:pic>
              </a:graphicData>
            </a:graphic>
            <wp14:sizeRelH relativeFrom="page">
              <wp14:pctWidth>0</wp14:pctWidth>
            </wp14:sizeRelH>
            <wp14:sizeRelV relativeFrom="page">
              <wp14:pctHeight>0</wp14:pctHeight>
            </wp14:sizeRelV>
          </wp:anchor>
        </w:drawing>
      </w:r>
      <w:bookmarkEnd w:id="1"/>
    </w:p>
    <w:p w:rsidR="00157F13" w:rsidRPr="00157F13" w:rsidRDefault="00157F13" w:rsidP="00157F13">
      <w:pPr>
        <w:rPr>
          <w:rFonts w:cs="Arial"/>
          <w:lang w:val="en-US"/>
        </w:rPr>
      </w:pPr>
    </w:p>
    <w:p w:rsidR="00157F13" w:rsidRPr="00157F13" w:rsidRDefault="00157F13" w:rsidP="00157F13">
      <w:pPr>
        <w:rPr>
          <w:rFonts w:cs="Arial"/>
          <w:lang w:val="en-US"/>
        </w:rPr>
      </w:pPr>
    </w:p>
    <w:p w:rsidR="00157F13" w:rsidRPr="00157F13" w:rsidRDefault="00157F13" w:rsidP="00157F13">
      <w:pPr>
        <w:rPr>
          <w:rFonts w:cs="Arial"/>
          <w:lang w:val="en-US"/>
        </w:rPr>
      </w:pPr>
    </w:p>
    <w:p w:rsidR="00157F13" w:rsidRPr="00157F13" w:rsidRDefault="00157F13" w:rsidP="00157F13">
      <w:pPr>
        <w:rPr>
          <w:rFonts w:cs="Arial"/>
          <w:lang w:val="en-US"/>
        </w:rPr>
      </w:pPr>
    </w:p>
    <w:p w:rsidR="00157F13" w:rsidRDefault="00157F13" w:rsidP="00157F13">
      <w:pPr>
        <w:rPr>
          <w:rFonts w:cs="Arial"/>
          <w:lang w:val="en-US"/>
        </w:rPr>
      </w:pPr>
    </w:p>
    <w:p w:rsidR="00F97141" w:rsidRPr="00157F13" w:rsidRDefault="00F97141" w:rsidP="00157F13">
      <w:pPr>
        <w:jc w:val="center"/>
        <w:rPr>
          <w:rFonts w:cs="Arial"/>
          <w:lang w:val="en-US"/>
        </w:rPr>
      </w:pPr>
    </w:p>
    <w:sectPr w:rsidR="00F97141" w:rsidRPr="00157F13" w:rsidSect="00F97141">
      <w:type w:val="continuous"/>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3F3B1C" w15:done="0"/>
  <w15:commentEx w15:paraId="56CB6C79" w15:done="0"/>
  <w15:commentEx w15:paraId="550D4CDA" w15:done="0"/>
  <w15:commentEx w15:paraId="7A4A1A70" w15:done="0"/>
  <w15:commentEx w15:paraId="07E53353" w15:done="0"/>
  <w15:commentEx w15:paraId="7EEEBBB5" w15:done="0"/>
  <w15:commentEx w15:paraId="27A416AD" w15:done="0"/>
  <w15:commentEx w15:paraId="5D06B1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411" w:rsidRDefault="00326411" w:rsidP="002865F3">
      <w:pPr>
        <w:spacing w:after="0" w:line="240" w:lineRule="auto"/>
      </w:pPr>
      <w:r>
        <w:separator/>
      </w:r>
    </w:p>
  </w:endnote>
  <w:endnote w:type="continuationSeparator" w:id="0">
    <w:p w:rsidR="00326411" w:rsidRDefault="00326411" w:rsidP="00286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altName w:val="Lucida Grande CY"/>
    <w:panose1 w:val="020B0502040204020203"/>
    <w:charset w:val="00"/>
    <w:family w:val="swiss"/>
    <w:pitch w:val="variable"/>
    <w:sig w:usb0="E10022FF" w:usb1="C000E47F" w:usb2="00000029" w:usb3="00000000" w:csb0="000001D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411" w:rsidRDefault="00326411" w:rsidP="002865F3">
      <w:pPr>
        <w:spacing w:after="0" w:line="240" w:lineRule="auto"/>
      </w:pPr>
      <w:r>
        <w:separator/>
      </w:r>
    </w:p>
  </w:footnote>
  <w:footnote w:type="continuationSeparator" w:id="0">
    <w:p w:rsidR="00326411" w:rsidRDefault="00326411" w:rsidP="002865F3">
      <w:pPr>
        <w:spacing w:after="0" w:line="240" w:lineRule="auto"/>
      </w:pPr>
      <w:r>
        <w:continuationSeparator/>
      </w:r>
    </w:p>
  </w:footnote>
  <w:footnote w:id="1">
    <w:p w:rsidR="00B10FCA" w:rsidRPr="00F35C74" w:rsidRDefault="00B10FCA" w:rsidP="00412BCA">
      <w:pPr>
        <w:pStyle w:val="FootnoteText"/>
        <w:rPr>
          <w:szCs w:val="18"/>
          <w:lang w:val="en-US"/>
        </w:rPr>
      </w:pPr>
      <w:r w:rsidRPr="00F35C74">
        <w:rPr>
          <w:rStyle w:val="FootnoteReference"/>
          <w:szCs w:val="18"/>
          <w:lang w:val="en-US"/>
        </w:rPr>
        <w:footnoteRef/>
      </w:r>
      <w:r w:rsidRPr="00F35C74">
        <w:rPr>
          <w:szCs w:val="18"/>
          <w:lang w:val="en-US"/>
        </w:rPr>
        <w:t xml:space="preserve"> A majority of the organizations which belong to the EITI NGO Coalition have been negatively affected by these restrictions. See the Coalition statement of 15 July 2014, available at: </w:t>
      </w:r>
      <w:hyperlink r:id="rId1" w:history="1">
        <w:r w:rsidRPr="00F35C74">
          <w:rPr>
            <w:rStyle w:val="Hyperlink"/>
            <w:szCs w:val="18"/>
            <w:lang w:val="en-US"/>
          </w:rPr>
          <w:t>http://eiti-ngo-azerbaijan.org/?p=627</w:t>
        </w:r>
      </w:hyperlink>
      <w:r w:rsidRPr="00F35C74">
        <w:rPr>
          <w:szCs w:val="18"/>
          <w:lang w:val="en-US"/>
        </w:rPr>
        <w:t>.</w:t>
      </w:r>
    </w:p>
  </w:footnote>
  <w:footnote w:id="2">
    <w:p w:rsidR="00B10FCA" w:rsidRPr="006710FB" w:rsidRDefault="00B10FCA" w:rsidP="00921CB4">
      <w:pPr>
        <w:widowControl w:val="0"/>
        <w:autoSpaceDE w:val="0"/>
        <w:autoSpaceDN w:val="0"/>
        <w:adjustRightInd w:val="0"/>
        <w:spacing w:after="0" w:line="240" w:lineRule="auto"/>
        <w:rPr>
          <w:sz w:val="18"/>
          <w:szCs w:val="18"/>
          <w:lang w:val="en-GB"/>
        </w:rPr>
      </w:pPr>
      <w:r w:rsidRPr="006710FB">
        <w:rPr>
          <w:rStyle w:val="FootnoteReference"/>
          <w:sz w:val="18"/>
          <w:szCs w:val="18"/>
        </w:rPr>
        <w:footnoteRef/>
      </w:r>
      <w:r w:rsidRPr="006710FB">
        <w:rPr>
          <w:sz w:val="18"/>
          <w:szCs w:val="18"/>
          <w:lang w:val="en-GB"/>
        </w:rPr>
        <w:t xml:space="preserve"> See, for example, the </w:t>
      </w:r>
      <w:r w:rsidR="005F4EE8" w:rsidRPr="006710FB">
        <w:rPr>
          <w:sz w:val="18"/>
          <w:szCs w:val="18"/>
          <w:lang w:val="en-GB"/>
        </w:rPr>
        <w:t>“</w:t>
      </w:r>
      <w:r w:rsidRPr="006710FB">
        <w:rPr>
          <w:sz w:val="18"/>
          <w:szCs w:val="18"/>
          <w:lang w:val="en-GB"/>
        </w:rPr>
        <w:t>Statement on draft amendments to the legislation regulating the activities of NGOs and civil society organizations in Azerbaijan</w:t>
      </w:r>
      <w:r w:rsidR="005F4EE8" w:rsidRPr="006710FB">
        <w:rPr>
          <w:sz w:val="18"/>
          <w:szCs w:val="18"/>
          <w:lang w:val="en-GB"/>
        </w:rPr>
        <w:t>”</w:t>
      </w:r>
      <w:r w:rsidRPr="006710FB">
        <w:rPr>
          <w:sz w:val="18"/>
          <w:szCs w:val="18"/>
          <w:lang w:val="en-GB"/>
        </w:rPr>
        <w:t xml:space="preserve">, available at: </w:t>
      </w:r>
      <w:hyperlink r:id="rId2" w:history="1">
        <w:r w:rsidRPr="006710FB">
          <w:rPr>
            <w:sz w:val="18"/>
            <w:szCs w:val="18"/>
            <w:lang w:val="en-GB"/>
          </w:rPr>
          <w:t>http://www.eap-csf.eu/assets/files/News/Azerbaijan%20CSOs-Statement-%20Februaru_12_2013.pdf</w:t>
        </w:r>
      </w:hyperlink>
      <w:r w:rsidRPr="006710FB">
        <w:rPr>
          <w:sz w:val="18"/>
          <w:szCs w:val="18"/>
          <w:lang w:val="en-GB"/>
        </w:rPr>
        <w:t>.</w:t>
      </w:r>
    </w:p>
  </w:footnote>
  <w:footnote w:id="3">
    <w:p w:rsidR="00B10FCA" w:rsidRPr="006710FB" w:rsidRDefault="00B10FCA" w:rsidP="00FA3957">
      <w:pPr>
        <w:pStyle w:val="FootnoteText"/>
        <w:rPr>
          <w:sz w:val="18"/>
          <w:szCs w:val="18"/>
          <w:lang w:val="en-US"/>
        </w:rPr>
      </w:pPr>
      <w:r w:rsidRPr="006710FB">
        <w:rPr>
          <w:rStyle w:val="FootnoteReference"/>
          <w:sz w:val="18"/>
          <w:szCs w:val="18"/>
          <w:lang w:val="en-US"/>
        </w:rPr>
        <w:footnoteRef/>
      </w:r>
      <w:r w:rsidRPr="006710FB">
        <w:rPr>
          <w:sz w:val="18"/>
          <w:szCs w:val="18"/>
          <w:lang w:val="en-US"/>
        </w:rPr>
        <w:t xml:space="preserve"> Available at: </w:t>
      </w:r>
      <w:hyperlink r:id="rId3" w:history="1">
        <w:r w:rsidRPr="006710FB">
          <w:rPr>
            <w:rStyle w:val="Hyperlink"/>
            <w:sz w:val="18"/>
            <w:szCs w:val="18"/>
            <w:lang w:val="en-US"/>
          </w:rPr>
          <w:t>http://www.hrw.org/node/118310</w:t>
        </w:r>
      </w:hyperlink>
      <w:r w:rsidRPr="006710FB">
        <w:rPr>
          <w:sz w:val="18"/>
          <w:szCs w:val="18"/>
          <w:lang w:val="en-US"/>
        </w:rPr>
        <w:t>.</w:t>
      </w:r>
    </w:p>
  </w:footnote>
  <w:footnote w:id="4">
    <w:p w:rsidR="00B10FCA" w:rsidRPr="006710FB" w:rsidRDefault="00B10FCA" w:rsidP="00B71C8D">
      <w:pPr>
        <w:pStyle w:val="NormalWeb"/>
        <w:spacing w:before="2" w:after="2"/>
        <w:rPr>
          <w:rFonts w:asciiTheme="minorHAnsi" w:hAnsiTheme="minorHAnsi"/>
          <w:sz w:val="18"/>
          <w:szCs w:val="18"/>
        </w:rPr>
      </w:pPr>
      <w:r w:rsidRPr="006710FB">
        <w:rPr>
          <w:rStyle w:val="FootnoteReference"/>
          <w:rFonts w:asciiTheme="minorHAnsi" w:hAnsiTheme="minorHAnsi"/>
          <w:sz w:val="18"/>
          <w:szCs w:val="18"/>
        </w:rPr>
        <w:footnoteRef/>
      </w:r>
      <w:r w:rsidRPr="006710FB">
        <w:rPr>
          <w:rFonts w:asciiTheme="minorHAnsi" w:hAnsiTheme="minorHAnsi"/>
          <w:sz w:val="18"/>
          <w:szCs w:val="18"/>
        </w:rPr>
        <w:t xml:space="preserve"> See, for example, </w:t>
      </w:r>
      <w:proofErr w:type="spellStart"/>
      <w:r w:rsidRPr="006710FB">
        <w:rPr>
          <w:rFonts w:asciiTheme="minorHAnsi" w:hAnsiTheme="minorHAnsi"/>
          <w:i/>
          <w:color w:val="000000"/>
          <w:sz w:val="18"/>
          <w:szCs w:val="18"/>
        </w:rPr>
        <w:t>Ramazanova</w:t>
      </w:r>
      <w:proofErr w:type="spellEnd"/>
      <w:r w:rsidRPr="006710FB">
        <w:rPr>
          <w:rFonts w:asciiTheme="minorHAnsi" w:hAnsiTheme="minorHAnsi"/>
          <w:i/>
          <w:color w:val="000000"/>
          <w:sz w:val="18"/>
          <w:szCs w:val="18"/>
        </w:rPr>
        <w:t xml:space="preserve"> and others v. </w:t>
      </w:r>
      <w:r w:rsidRPr="006710FB">
        <w:rPr>
          <w:rFonts w:asciiTheme="minorHAnsi" w:hAnsiTheme="minorHAnsi"/>
          <w:i/>
          <w:sz w:val="18"/>
          <w:szCs w:val="18"/>
        </w:rPr>
        <w:t>Azerbaijan</w:t>
      </w:r>
      <w:r w:rsidRPr="006710FB">
        <w:rPr>
          <w:rFonts w:asciiTheme="minorHAnsi" w:hAnsiTheme="minorHAnsi"/>
          <w:sz w:val="18"/>
          <w:szCs w:val="18"/>
        </w:rPr>
        <w:t>, 1 February 2007, Application No. </w:t>
      </w:r>
      <w:hyperlink r:id="rId4" w:anchor="{&quot;appno&quot;:[&quot;44363/02&quot;]}" w:tgtFrame="_blank" w:history="1">
        <w:r w:rsidRPr="006710FB">
          <w:rPr>
            <w:rFonts w:asciiTheme="minorHAnsi" w:hAnsiTheme="minorHAnsi"/>
            <w:sz w:val="18"/>
            <w:szCs w:val="18"/>
          </w:rPr>
          <w:t>44363/02</w:t>
        </w:r>
      </w:hyperlink>
      <w:r w:rsidRPr="006710FB">
        <w:rPr>
          <w:rFonts w:asciiTheme="minorHAnsi" w:hAnsiTheme="minorHAnsi"/>
          <w:sz w:val="18"/>
          <w:szCs w:val="18"/>
        </w:rPr>
        <w:t xml:space="preserve">, </w:t>
      </w:r>
      <w:proofErr w:type="spellStart"/>
      <w:r w:rsidRPr="006710FB">
        <w:rPr>
          <w:rFonts w:asciiTheme="minorHAnsi" w:hAnsiTheme="minorHAnsi"/>
          <w:i/>
          <w:color w:val="000000"/>
          <w:sz w:val="18"/>
          <w:szCs w:val="18"/>
        </w:rPr>
        <w:t>Ismayilov</w:t>
      </w:r>
      <w:proofErr w:type="spellEnd"/>
      <w:r w:rsidRPr="006710FB">
        <w:rPr>
          <w:rFonts w:asciiTheme="minorHAnsi" w:hAnsiTheme="minorHAnsi"/>
          <w:color w:val="000000"/>
          <w:sz w:val="18"/>
          <w:szCs w:val="18"/>
        </w:rPr>
        <w:t xml:space="preserve"> </w:t>
      </w:r>
      <w:r w:rsidRPr="006710FB">
        <w:rPr>
          <w:rFonts w:asciiTheme="minorHAnsi" w:hAnsiTheme="minorHAnsi"/>
          <w:i/>
          <w:color w:val="000000"/>
          <w:sz w:val="18"/>
          <w:szCs w:val="18"/>
        </w:rPr>
        <w:t>v. Azerbaijan</w:t>
      </w:r>
      <w:r w:rsidRPr="006710FB">
        <w:rPr>
          <w:rFonts w:asciiTheme="minorHAnsi" w:hAnsiTheme="minorHAnsi"/>
          <w:color w:val="000000"/>
          <w:sz w:val="18"/>
          <w:szCs w:val="18"/>
        </w:rPr>
        <w:t>, 17 January 2008, Application N</w:t>
      </w:r>
      <w:r w:rsidRPr="006710FB">
        <w:rPr>
          <w:rFonts w:asciiTheme="minorHAnsi" w:hAnsiTheme="minorHAnsi"/>
          <w:iCs/>
          <w:sz w:val="18"/>
          <w:szCs w:val="18"/>
        </w:rPr>
        <w:t>o.</w:t>
      </w:r>
      <w:r w:rsidRPr="006710FB">
        <w:rPr>
          <w:rFonts w:asciiTheme="minorHAnsi" w:hAnsiTheme="minorHAnsi"/>
          <w:sz w:val="18"/>
          <w:szCs w:val="18"/>
        </w:rPr>
        <w:t>4439</w:t>
      </w:r>
      <w:r w:rsidRPr="006710FB">
        <w:rPr>
          <w:rFonts w:asciiTheme="minorHAnsi" w:hAnsiTheme="minorHAnsi"/>
          <w:iCs/>
          <w:sz w:val="18"/>
          <w:szCs w:val="18"/>
        </w:rPr>
        <w:t xml:space="preserve">/04 and </w:t>
      </w:r>
      <w:r w:rsidRPr="006710FB">
        <w:rPr>
          <w:rFonts w:asciiTheme="minorHAnsi" w:hAnsiTheme="minorHAnsi"/>
          <w:i/>
          <w:iCs/>
          <w:color w:val="000000"/>
          <w:sz w:val="18"/>
          <w:szCs w:val="18"/>
        </w:rPr>
        <w:t>Islam-</w:t>
      </w:r>
      <w:proofErr w:type="spellStart"/>
      <w:r w:rsidRPr="006710FB">
        <w:rPr>
          <w:rFonts w:asciiTheme="minorHAnsi" w:hAnsiTheme="minorHAnsi"/>
          <w:i/>
          <w:iCs/>
          <w:color w:val="000000"/>
          <w:sz w:val="18"/>
          <w:szCs w:val="18"/>
        </w:rPr>
        <w:t>Ittihad</w:t>
      </w:r>
      <w:proofErr w:type="spellEnd"/>
      <w:r w:rsidRPr="006710FB">
        <w:rPr>
          <w:rFonts w:asciiTheme="minorHAnsi" w:hAnsiTheme="minorHAnsi"/>
          <w:i/>
          <w:iCs/>
          <w:color w:val="000000"/>
          <w:sz w:val="18"/>
          <w:szCs w:val="18"/>
        </w:rPr>
        <w:t xml:space="preserve"> Association and others v. Azerbaijan</w:t>
      </w:r>
      <w:r w:rsidRPr="006710FB">
        <w:rPr>
          <w:rFonts w:asciiTheme="minorHAnsi" w:hAnsiTheme="minorHAnsi"/>
          <w:iCs/>
          <w:color w:val="000000"/>
          <w:sz w:val="18"/>
          <w:szCs w:val="18"/>
        </w:rPr>
        <w:t>, 13 March 2014, Application</w:t>
      </w:r>
      <w:r w:rsidRPr="006710FB">
        <w:rPr>
          <w:rFonts w:asciiTheme="minorHAnsi" w:hAnsiTheme="minorHAnsi"/>
          <w:color w:val="000000"/>
          <w:sz w:val="18"/>
          <w:szCs w:val="18"/>
        </w:rPr>
        <w:t> No. 5548/05. See also E</w:t>
      </w:r>
      <w:r w:rsidRPr="006710FB">
        <w:rPr>
          <w:rFonts w:asciiTheme="minorHAnsi" w:hAnsiTheme="minorHAnsi"/>
          <w:sz w:val="18"/>
          <w:szCs w:val="18"/>
        </w:rPr>
        <w:t xml:space="preserve">uropean Commission </w:t>
      </w:r>
      <w:proofErr w:type="gramStart"/>
      <w:r w:rsidRPr="006710FB">
        <w:rPr>
          <w:rFonts w:asciiTheme="minorHAnsi" w:hAnsiTheme="minorHAnsi"/>
          <w:sz w:val="18"/>
          <w:szCs w:val="18"/>
        </w:rPr>
        <w:t>For Democracy Through</w:t>
      </w:r>
      <w:proofErr w:type="gramEnd"/>
      <w:r w:rsidRPr="006710FB">
        <w:rPr>
          <w:rFonts w:asciiTheme="minorHAnsi" w:hAnsiTheme="minorHAnsi"/>
          <w:sz w:val="18"/>
          <w:szCs w:val="18"/>
        </w:rPr>
        <w:t xml:space="preserve"> Law (Venice Commission) Opinion 787/2014 On the Law on Non-Governmental </w:t>
      </w:r>
      <w:proofErr w:type="spellStart"/>
      <w:r w:rsidRPr="006710FB">
        <w:rPr>
          <w:rFonts w:asciiTheme="minorHAnsi" w:hAnsiTheme="minorHAnsi"/>
          <w:sz w:val="18"/>
          <w:szCs w:val="18"/>
        </w:rPr>
        <w:t>Organisations</w:t>
      </w:r>
      <w:proofErr w:type="spellEnd"/>
      <w:r w:rsidRPr="006710FB">
        <w:rPr>
          <w:rFonts w:asciiTheme="minorHAnsi" w:hAnsiTheme="minorHAnsi"/>
          <w:sz w:val="18"/>
          <w:szCs w:val="18"/>
        </w:rPr>
        <w:t xml:space="preserve"> (Public Associations and Funds) As Amended of the Republic of Azerbaijan, 12-13 December 2014, para. 38. Available at: </w:t>
      </w:r>
      <w:hyperlink r:id="rId5" w:history="1">
        <w:r w:rsidRPr="006710FB">
          <w:rPr>
            <w:rStyle w:val="Hyperlink"/>
            <w:rFonts w:asciiTheme="minorHAnsi" w:hAnsiTheme="minorHAnsi"/>
            <w:sz w:val="18"/>
            <w:szCs w:val="18"/>
            <w:lang w:val="en-GB"/>
          </w:rPr>
          <w:t>http://www.coe.int/t/ngo/Source/Venice_Comm_opinion_787_2014_amendments_NGO_law_Az_en.pdf</w:t>
        </w:r>
      </w:hyperlink>
      <w:r w:rsidRPr="006710FB">
        <w:rPr>
          <w:rFonts w:asciiTheme="minorHAnsi" w:hAnsiTheme="minorHAnsi"/>
          <w:sz w:val="18"/>
          <w:szCs w:val="18"/>
          <w:lang w:val="en-GB"/>
        </w:rPr>
        <w:t>.</w:t>
      </w:r>
    </w:p>
  </w:footnote>
  <w:footnote w:id="5">
    <w:p w:rsidR="00B10FCA" w:rsidRPr="006710FB" w:rsidRDefault="00B10FCA" w:rsidP="00481618">
      <w:pPr>
        <w:widowControl w:val="0"/>
        <w:autoSpaceDE w:val="0"/>
        <w:autoSpaceDN w:val="0"/>
        <w:adjustRightInd w:val="0"/>
        <w:spacing w:after="0" w:line="240" w:lineRule="auto"/>
        <w:rPr>
          <w:sz w:val="18"/>
          <w:szCs w:val="18"/>
          <w:lang w:val="en-US"/>
        </w:rPr>
      </w:pPr>
      <w:r w:rsidRPr="006710FB">
        <w:rPr>
          <w:rStyle w:val="FootnoteReference"/>
          <w:sz w:val="18"/>
          <w:szCs w:val="18"/>
          <w:lang w:val="en-US"/>
        </w:rPr>
        <w:footnoteRef/>
      </w:r>
      <w:r w:rsidRPr="006710FB">
        <w:rPr>
          <w:sz w:val="18"/>
          <w:szCs w:val="18"/>
          <w:lang w:val="en-US"/>
        </w:rPr>
        <w:t xml:space="preserve"> See USAID, </w:t>
      </w:r>
      <w:proofErr w:type="gramStart"/>
      <w:r w:rsidRPr="006710FB">
        <w:rPr>
          <w:i/>
          <w:sz w:val="18"/>
          <w:szCs w:val="18"/>
          <w:lang w:val="en-US"/>
        </w:rPr>
        <w:t>The</w:t>
      </w:r>
      <w:proofErr w:type="gramEnd"/>
      <w:r w:rsidRPr="006710FB">
        <w:rPr>
          <w:i/>
          <w:sz w:val="18"/>
          <w:szCs w:val="18"/>
          <w:lang w:val="en-US"/>
        </w:rPr>
        <w:t xml:space="preserve"> 2013 CSO Sustainability Index for Central and Eastern Europe and Eurasia</w:t>
      </w:r>
      <w:r w:rsidRPr="006710FB">
        <w:rPr>
          <w:sz w:val="18"/>
          <w:szCs w:val="18"/>
          <w:lang w:val="en-US"/>
        </w:rPr>
        <w:t xml:space="preserve"> which states, at p. 27: “</w:t>
      </w:r>
      <w:r w:rsidRPr="006710FB">
        <w:rPr>
          <w:rFonts w:cs="Times New Roman"/>
          <w:sz w:val="18"/>
          <w:szCs w:val="18"/>
          <w:lang w:val="en-US"/>
        </w:rPr>
        <w:t>The registration process continues to be complicated, preventing CSOs from registering even after years of applying”</w:t>
      </w:r>
      <w:r w:rsidRPr="006710FB">
        <w:rPr>
          <w:sz w:val="18"/>
          <w:szCs w:val="18"/>
          <w:lang w:val="en-US"/>
        </w:rPr>
        <w:t>. Available at: http://www.usaid.gov/sites/default/files/documents/1863/E%26E%202013%20CSOSI%20Final%2010-29-14.pdf.</w:t>
      </w:r>
    </w:p>
  </w:footnote>
  <w:footnote w:id="6">
    <w:p w:rsidR="00B10FCA" w:rsidRPr="006710FB" w:rsidRDefault="00B10FCA">
      <w:pPr>
        <w:pStyle w:val="FootnoteText"/>
        <w:rPr>
          <w:sz w:val="18"/>
          <w:szCs w:val="18"/>
          <w:lang w:val="en-GB"/>
        </w:rPr>
      </w:pPr>
      <w:r w:rsidRPr="006710FB">
        <w:rPr>
          <w:rStyle w:val="FootnoteReference"/>
          <w:sz w:val="18"/>
          <w:szCs w:val="18"/>
        </w:rPr>
        <w:footnoteRef/>
      </w:r>
      <w:r w:rsidRPr="006710FB">
        <w:rPr>
          <w:sz w:val="18"/>
          <w:szCs w:val="18"/>
          <w:lang w:val="en-GB"/>
        </w:rPr>
        <w:t xml:space="preserve"> </w:t>
      </w:r>
      <w:r w:rsidRPr="006710FB">
        <w:rPr>
          <w:sz w:val="18"/>
          <w:szCs w:val="18"/>
          <w:lang w:val="en-US"/>
        </w:rPr>
        <w:t xml:space="preserve">See USAID, </w:t>
      </w:r>
      <w:r w:rsidR="002856B4" w:rsidRPr="006710FB">
        <w:rPr>
          <w:i/>
          <w:sz w:val="18"/>
          <w:szCs w:val="18"/>
          <w:lang w:val="en-US"/>
        </w:rPr>
        <w:t>The 2012</w:t>
      </w:r>
      <w:r w:rsidRPr="006710FB">
        <w:rPr>
          <w:i/>
          <w:sz w:val="18"/>
          <w:szCs w:val="18"/>
          <w:lang w:val="en-US"/>
        </w:rPr>
        <w:t xml:space="preserve"> CSO Sustainability Index for Central and Eastern Europe and Eurasia</w:t>
      </w:r>
      <w:r w:rsidRPr="006710FB">
        <w:rPr>
          <w:sz w:val="18"/>
          <w:szCs w:val="18"/>
          <w:lang w:val="en-US"/>
        </w:rPr>
        <w:t xml:space="preserve">, </w:t>
      </w:r>
      <w:r w:rsidR="002856B4" w:rsidRPr="006710FB">
        <w:rPr>
          <w:sz w:val="18"/>
          <w:szCs w:val="18"/>
          <w:lang w:val="en-US"/>
        </w:rPr>
        <w:t>p. 32</w:t>
      </w:r>
      <w:r w:rsidRPr="006710FB">
        <w:rPr>
          <w:sz w:val="18"/>
          <w:szCs w:val="18"/>
          <w:lang w:val="en-US"/>
        </w:rPr>
        <w:t>.</w:t>
      </w:r>
      <w:r w:rsidR="002856B4" w:rsidRPr="006710FB">
        <w:rPr>
          <w:sz w:val="18"/>
          <w:szCs w:val="18"/>
          <w:lang w:val="en-US"/>
        </w:rPr>
        <w:t xml:space="preserve"> Available at: http://www.usaid.gov/sites/default/files/documents/1863/2012CSOSI_0.pdf.</w:t>
      </w:r>
    </w:p>
  </w:footnote>
  <w:footnote w:id="7">
    <w:p w:rsidR="00B10FCA" w:rsidRPr="006710FB" w:rsidRDefault="00B10FCA" w:rsidP="003A4582">
      <w:pPr>
        <w:pStyle w:val="FootnoteText"/>
        <w:rPr>
          <w:sz w:val="18"/>
          <w:szCs w:val="18"/>
          <w:lang w:val="en-US"/>
        </w:rPr>
      </w:pPr>
      <w:r w:rsidRPr="006710FB">
        <w:rPr>
          <w:rStyle w:val="FootnoteReference"/>
          <w:sz w:val="18"/>
          <w:szCs w:val="18"/>
          <w:lang w:val="en-US"/>
        </w:rPr>
        <w:footnoteRef/>
      </w:r>
      <w:r w:rsidRPr="006710FB">
        <w:rPr>
          <w:sz w:val="18"/>
          <w:szCs w:val="18"/>
          <w:lang w:val="en-US"/>
        </w:rPr>
        <w:t xml:space="preserve"> We are refraining from mentioning these groups by name because many INGOs who have not been able to register do not want to be identified publicly.</w:t>
      </w:r>
    </w:p>
  </w:footnote>
  <w:footnote w:id="8">
    <w:p w:rsidR="00B10FCA" w:rsidRPr="00F35C74" w:rsidRDefault="00B10FCA" w:rsidP="003A4582">
      <w:pPr>
        <w:spacing w:after="0" w:line="240" w:lineRule="auto"/>
        <w:rPr>
          <w:color w:val="0000FF"/>
          <w:sz w:val="20"/>
          <w:szCs w:val="18"/>
          <w:u w:val="single"/>
          <w:lang w:val="en-US"/>
        </w:rPr>
      </w:pPr>
      <w:r w:rsidRPr="006710FB">
        <w:rPr>
          <w:rStyle w:val="FootnoteReference"/>
          <w:sz w:val="18"/>
          <w:szCs w:val="18"/>
          <w:lang w:val="en-US"/>
        </w:rPr>
        <w:footnoteRef/>
      </w:r>
      <w:r w:rsidRPr="006710FB">
        <w:rPr>
          <w:sz w:val="18"/>
          <w:szCs w:val="18"/>
          <w:lang w:val="en-US"/>
        </w:rPr>
        <w:t xml:space="preserve"> See a media report on this at: </w:t>
      </w:r>
      <w:hyperlink r:id="rId6" w:anchor=".VAh4lvl_tqV" w:history="1">
        <w:r w:rsidRPr="006710FB">
          <w:rPr>
            <w:sz w:val="18"/>
            <w:szCs w:val="18"/>
            <w:lang w:val="en-US"/>
          </w:rPr>
          <w:t>http://www.contact.az/docs/2014/Politics/070200083172en.htm#.VAh4lvl_tqV</w:t>
        </w:r>
      </w:hyperlink>
      <w:r w:rsidRPr="006710FB">
        <w:rPr>
          <w:sz w:val="18"/>
          <w:szCs w:val="18"/>
          <w:lang w:val="en-US"/>
        </w:rPr>
        <w:t>.</w:t>
      </w:r>
    </w:p>
  </w:footnote>
  <w:footnote w:id="9">
    <w:p w:rsidR="00B10FCA" w:rsidRPr="006710FB" w:rsidRDefault="00B10FCA" w:rsidP="003A4582">
      <w:pPr>
        <w:pStyle w:val="FootnoteText"/>
        <w:rPr>
          <w:sz w:val="18"/>
          <w:szCs w:val="18"/>
          <w:lang w:val="en-US"/>
        </w:rPr>
      </w:pPr>
      <w:r w:rsidRPr="006710FB">
        <w:rPr>
          <w:rStyle w:val="FootnoteReference"/>
          <w:sz w:val="18"/>
          <w:szCs w:val="18"/>
          <w:lang w:val="en-US"/>
        </w:rPr>
        <w:footnoteRef/>
      </w:r>
      <w:r w:rsidRPr="006710FB">
        <w:rPr>
          <w:sz w:val="18"/>
          <w:szCs w:val="18"/>
          <w:lang w:val="en-US"/>
        </w:rPr>
        <w:t xml:space="preserve"> See International Center for Not-for-Profit Law, NGO Law Monitor: Azerbaijan. Available at: </w:t>
      </w:r>
      <w:hyperlink r:id="rId7" w:history="1">
        <w:r w:rsidRPr="006710FB">
          <w:rPr>
            <w:sz w:val="18"/>
            <w:szCs w:val="18"/>
            <w:lang w:val="en-US"/>
          </w:rPr>
          <w:t>http://www.icnl.org/research/monitor/azerbaijan.html</w:t>
        </w:r>
      </w:hyperlink>
      <w:r w:rsidRPr="006710FB">
        <w:rPr>
          <w:sz w:val="18"/>
          <w:szCs w:val="18"/>
          <w:lang w:val="en-US"/>
        </w:rPr>
        <w:t>.</w:t>
      </w:r>
    </w:p>
  </w:footnote>
  <w:footnote w:id="10">
    <w:p w:rsidR="00B10FCA" w:rsidRPr="00C53355" w:rsidRDefault="00B10FCA" w:rsidP="00E93251">
      <w:pPr>
        <w:pStyle w:val="FootnoteText"/>
        <w:rPr>
          <w:lang w:val="en-US"/>
        </w:rPr>
      </w:pPr>
      <w:r w:rsidRPr="006710FB">
        <w:rPr>
          <w:rStyle w:val="FootnoteReference"/>
          <w:sz w:val="18"/>
          <w:szCs w:val="18"/>
        </w:rPr>
        <w:footnoteRef/>
      </w:r>
      <w:r w:rsidRPr="006710FB">
        <w:rPr>
          <w:sz w:val="18"/>
          <w:szCs w:val="18"/>
          <w:lang w:val="en-GB"/>
        </w:rPr>
        <w:t xml:space="preserve"> </w:t>
      </w:r>
      <w:r w:rsidRPr="006710FB">
        <w:rPr>
          <w:sz w:val="18"/>
          <w:szCs w:val="18"/>
          <w:lang w:val="en-US"/>
        </w:rPr>
        <w:t>EITI NGO Coalition statement, 11 July 2014, available at: http://eiti-ngo-azerbaijan.org/?p=627.</w:t>
      </w:r>
    </w:p>
  </w:footnote>
  <w:footnote w:id="11">
    <w:p w:rsidR="00B10FCA" w:rsidRPr="006710FB" w:rsidRDefault="00B10FCA" w:rsidP="008329B4">
      <w:pPr>
        <w:widowControl w:val="0"/>
        <w:autoSpaceDE w:val="0"/>
        <w:autoSpaceDN w:val="0"/>
        <w:adjustRightInd w:val="0"/>
        <w:spacing w:after="0" w:line="240" w:lineRule="auto"/>
        <w:rPr>
          <w:sz w:val="18"/>
          <w:szCs w:val="18"/>
          <w:lang w:val="en-US"/>
        </w:rPr>
      </w:pPr>
      <w:r w:rsidRPr="006710FB">
        <w:rPr>
          <w:rStyle w:val="FootnoteReference"/>
          <w:sz w:val="18"/>
          <w:szCs w:val="18"/>
        </w:rPr>
        <w:footnoteRef/>
      </w:r>
      <w:r w:rsidRPr="006710FB">
        <w:rPr>
          <w:sz w:val="18"/>
          <w:szCs w:val="18"/>
          <w:lang w:val="en-GB"/>
        </w:rPr>
        <w:t xml:space="preserve"> </w:t>
      </w:r>
      <w:r w:rsidRPr="006710FB">
        <w:rPr>
          <w:sz w:val="18"/>
          <w:szCs w:val="18"/>
          <w:lang w:val="en-US"/>
        </w:rPr>
        <w:t>Available at: http://www.opengovpartnership.org/sites/default/files/Azerbaijan_OGP_IRM_Public_Comment_%28English%29_0.pdf.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9DA"/>
    <w:multiLevelType w:val="hybridMultilevel"/>
    <w:tmpl w:val="94D05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35956"/>
    <w:multiLevelType w:val="hybridMultilevel"/>
    <w:tmpl w:val="DB84FF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9C3EBB"/>
    <w:multiLevelType w:val="hybridMultilevel"/>
    <w:tmpl w:val="B5088B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3D640D"/>
    <w:multiLevelType w:val="hybridMultilevel"/>
    <w:tmpl w:val="1B829A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821382B"/>
    <w:multiLevelType w:val="hybridMultilevel"/>
    <w:tmpl w:val="9BA21F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AA7000F"/>
    <w:multiLevelType w:val="multilevel"/>
    <w:tmpl w:val="C6449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1861832"/>
    <w:multiLevelType w:val="multilevel"/>
    <w:tmpl w:val="BC04560A"/>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6CE61092"/>
    <w:multiLevelType w:val="hybridMultilevel"/>
    <w:tmpl w:val="C0FC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4E08D0"/>
    <w:multiLevelType w:val="hybridMultilevel"/>
    <w:tmpl w:val="A60C8660"/>
    <w:lvl w:ilvl="0" w:tplc="2A1495EA">
      <w:start w:val="8"/>
      <w:numFmt w:val="decimal"/>
      <w:lvlText w:val="%1."/>
      <w:lvlJc w:val="left"/>
      <w:pPr>
        <w:ind w:left="751" w:hanging="360"/>
      </w:pPr>
      <w:rPr>
        <w:rFonts w:hint="default"/>
      </w:rPr>
    </w:lvl>
    <w:lvl w:ilvl="1" w:tplc="040C0019" w:tentative="1">
      <w:start w:val="1"/>
      <w:numFmt w:val="lowerLetter"/>
      <w:lvlText w:val="%2."/>
      <w:lvlJc w:val="left"/>
      <w:pPr>
        <w:ind w:left="1471" w:hanging="360"/>
      </w:pPr>
    </w:lvl>
    <w:lvl w:ilvl="2" w:tplc="040C001B" w:tentative="1">
      <w:start w:val="1"/>
      <w:numFmt w:val="lowerRoman"/>
      <w:lvlText w:val="%3."/>
      <w:lvlJc w:val="right"/>
      <w:pPr>
        <w:ind w:left="2191" w:hanging="180"/>
      </w:pPr>
    </w:lvl>
    <w:lvl w:ilvl="3" w:tplc="040C000F" w:tentative="1">
      <w:start w:val="1"/>
      <w:numFmt w:val="decimal"/>
      <w:lvlText w:val="%4."/>
      <w:lvlJc w:val="left"/>
      <w:pPr>
        <w:ind w:left="2911" w:hanging="360"/>
      </w:pPr>
    </w:lvl>
    <w:lvl w:ilvl="4" w:tplc="040C0019" w:tentative="1">
      <w:start w:val="1"/>
      <w:numFmt w:val="lowerLetter"/>
      <w:lvlText w:val="%5."/>
      <w:lvlJc w:val="left"/>
      <w:pPr>
        <w:ind w:left="3631" w:hanging="360"/>
      </w:pPr>
    </w:lvl>
    <w:lvl w:ilvl="5" w:tplc="040C001B" w:tentative="1">
      <w:start w:val="1"/>
      <w:numFmt w:val="lowerRoman"/>
      <w:lvlText w:val="%6."/>
      <w:lvlJc w:val="right"/>
      <w:pPr>
        <w:ind w:left="4351" w:hanging="180"/>
      </w:pPr>
    </w:lvl>
    <w:lvl w:ilvl="6" w:tplc="040C000F" w:tentative="1">
      <w:start w:val="1"/>
      <w:numFmt w:val="decimal"/>
      <w:lvlText w:val="%7."/>
      <w:lvlJc w:val="left"/>
      <w:pPr>
        <w:ind w:left="5071" w:hanging="360"/>
      </w:pPr>
    </w:lvl>
    <w:lvl w:ilvl="7" w:tplc="040C0019" w:tentative="1">
      <w:start w:val="1"/>
      <w:numFmt w:val="lowerLetter"/>
      <w:lvlText w:val="%8."/>
      <w:lvlJc w:val="left"/>
      <w:pPr>
        <w:ind w:left="5791" w:hanging="360"/>
      </w:pPr>
    </w:lvl>
    <w:lvl w:ilvl="8" w:tplc="040C001B" w:tentative="1">
      <w:start w:val="1"/>
      <w:numFmt w:val="lowerRoman"/>
      <w:lvlText w:val="%9."/>
      <w:lvlJc w:val="right"/>
      <w:pPr>
        <w:ind w:left="6511" w:hanging="180"/>
      </w:pPr>
    </w:lvl>
  </w:abstractNum>
  <w:abstractNum w:abstractNumId="9">
    <w:nsid w:val="76FB5725"/>
    <w:multiLevelType w:val="multilevel"/>
    <w:tmpl w:val="F814C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8"/>
  </w:num>
  <w:num w:numId="4">
    <w:abstractNumId w:val="1"/>
  </w:num>
  <w:num w:numId="5">
    <w:abstractNumId w:val="3"/>
  </w:num>
  <w:num w:numId="6">
    <w:abstractNumId w:val="9"/>
  </w:num>
  <w:num w:numId="7">
    <w:abstractNumId w:val="2"/>
  </w:num>
  <w:num w:numId="8">
    <w:abstractNumId w:val="4"/>
  </w:num>
  <w:num w:numId="9">
    <w:abstractNumId w:val="5"/>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neeta Kaimal">
    <w15:presenceInfo w15:providerId="AD" w15:userId="S-1-5-21-1476390146-437395211-2354393449-14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CC"/>
    <w:rsid w:val="00016E3E"/>
    <w:rsid w:val="00051DA6"/>
    <w:rsid w:val="000725C0"/>
    <w:rsid w:val="000C6AF2"/>
    <w:rsid w:val="000D1198"/>
    <w:rsid w:val="00116B37"/>
    <w:rsid w:val="001338A7"/>
    <w:rsid w:val="0013772C"/>
    <w:rsid w:val="0014615B"/>
    <w:rsid w:val="0014655B"/>
    <w:rsid w:val="0014685F"/>
    <w:rsid w:val="00157F13"/>
    <w:rsid w:val="00163F2A"/>
    <w:rsid w:val="00173EA1"/>
    <w:rsid w:val="001A0353"/>
    <w:rsid w:val="001C40BC"/>
    <w:rsid w:val="001F6648"/>
    <w:rsid w:val="002146A3"/>
    <w:rsid w:val="002461F0"/>
    <w:rsid w:val="00254031"/>
    <w:rsid w:val="002856B4"/>
    <w:rsid w:val="002865F3"/>
    <w:rsid w:val="002A134A"/>
    <w:rsid w:val="002D68ED"/>
    <w:rsid w:val="00326411"/>
    <w:rsid w:val="00337684"/>
    <w:rsid w:val="003669CC"/>
    <w:rsid w:val="003A4582"/>
    <w:rsid w:val="00403B09"/>
    <w:rsid w:val="00412BCA"/>
    <w:rsid w:val="00435184"/>
    <w:rsid w:val="00473BEA"/>
    <w:rsid w:val="00481618"/>
    <w:rsid w:val="004869D5"/>
    <w:rsid w:val="00495766"/>
    <w:rsid w:val="004B5A89"/>
    <w:rsid w:val="004C29CC"/>
    <w:rsid w:val="004D4244"/>
    <w:rsid w:val="00507D2A"/>
    <w:rsid w:val="00530CD4"/>
    <w:rsid w:val="00571A78"/>
    <w:rsid w:val="005B055C"/>
    <w:rsid w:val="005B5664"/>
    <w:rsid w:val="005D351A"/>
    <w:rsid w:val="005E0131"/>
    <w:rsid w:val="005F4EE8"/>
    <w:rsid w:val="005F7A33"/>
    <w:rsid w:val="00623D1C"/>
    <w:rsid w:val="006710FB"/>
    <w:rsid w:val="0067506B"/>
    <w:rsid w:val="00676EB7"/>
    <w:rsid w:val="00692BC7"/>
    <w:rsid w:val="00697591"/>
    <w:rsid w:val="006D120B"/>
    <w:rsid w:val="006D2D22"/>
    <w:rsid w:val="006E4017"/>
    <w:rsid w:val="006E6D70"/>
    <w:rsid w:val="00701366"/>
    <w:rsid w:val="00730844"/>
    <w:rsid w:val="0073448A"/>
    <w:rsid w:val="007400FC"/>
    <w:rsid w:val="00766517"/>
    <w:rsid w:val="00772B3E"/>
    <w:rsid w:val="00777218"/>
    <w:rsid w:val="007870A3"/>
    <w:rsid w:val="00796D9F"/>
    <w:rsid w:val="007F5F5F"/>
    <w:rsid w:val="008329B4"/>
    <w:rsid w:val="00866F69"/>
    <w:rsid w:val="00867CF8"/>
    <w:rsid w:val="00872F4D"/>
    <w:rsid w:val="008A21C3"/>
    <w:rsid w:val="008B2CC7"/>
    <w:rsid w:val="008D3A23"/>
    <w:rsid w:val="008D42D7"/>
    <w:rsid w:val="008E43F1"/>
    <w:rsid w:val="008F2C4A"/>
    <w:rsid w:val="00921CB4"/>
    <w:rsid w:val="0094573A"/>
    <w:rsid w:val="00945837"/>
    <w:rsid w:val="009509B8"/>
    <w:rsid w:val="0097365C"/>
    <w:rsid w:val="00981132"/>
    <w:rsid w:val="0098371D"/>
    <w:rsid w:val="009D4D45"/>
    <w:rsid w:val="00A03287"/>
    <w:rsid w:val="00A06824"/>
    <w:rsid w:val="00A3399E"/>
    <w:rsid w:val="00A61BDA"/>
    <w:rsid w:val="00A62190"/>
    <w:rsid w:val="00A667BD"/>
    <w:rsid w:val="00A7394D"/>
    <w:rsid w:val="00A7414A"/>
    <w:rsid w:val="00A743FA"/>
    <w:rsid w:val="00A939D2"/>
    <w:rsid w:val="00AC419B"/>
    <w:rsid w:val="00AD2BCC"/>
    <w:rsid w:val="00AE1F2E"/>
    <w:rsid w:val="00B014CC"/>
    <w:rsid w:val="00B0610E"/>
    <w:rsid w:val="00B10FCA"/>
    <w:rsid w:val="00B16893"/>
    <w:rsid w:val="00B23C51"/>
    <w:rsid w:val="00B42104"/>
    <w:rsid w:val="00B71C8D"/>
    <w:rsid w:val="00BE4E74"/>
    <w:rsid w:val="00BF64DF"/>
    <w:rsid w:val="00BF6D10"/>
    <w:rsid w:val="00C00F67"/>
    <w:rsid w:val="00C21D78"/>
    <w:rsid w:val="00C44F43"/>
    <w:rsid w:val="00C62F01"/>
    <w:rsid w:val="00C6700F"/>
    <w:rsid w:val="00C87BDA"/>
    <w:rsid w:val="00CA0E0E"/>
    <w:rsid w:val="00CD538F"/>
    <w:rsid w:val="00CF036E"/>
    <w:rsid w:val="00D12DC4"/>
    <w:rsid w:val="00D34A28"/>
    <w:rsid w:val="00D44C1E"/>
    <w:rsid w:val="00DB2F94"/>
    <w:rsid w:val="00DC6B6C"/>
    <w:rsid w:val="00E11638"/>
    <w:rsid w:val="00E202B2"/>
    <w:rsid w:val="00E26685"/>
    <w:rsid w:val="00E500F9"/>
    <w:rsid w:val="00E67786"/>
    <w:rsid w:val="00E818DE"/>
    <w:rsid w:val="00E848A8"/>
    <w:rsid w:val="00E93251"/>
    <w:rsid w:val="00EB1629"/>
    <w:rsid w:val="00EB5AE4"/>
    <w:rsid w:val="00EC3031"/>
    <w:rsid w:val="00ED3EAA"/>
    <w:rsid w:val="00ED78DF"/>
    <w:rsid w:val="00EE231F"/>
    <w:rsid w:val="00F35C74"/>
    <w:rsid w:val="00F750B8"/>
    <w:rsid w:val="00F938D8"/>
    <w:rsid w:val="00F97141"/>
    <w:rsid w:val="00FA3957"/>
    <w:rsid w:val="00FD62B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0" w:defSemiHidden="0" w:defUnhideWhenUsed="0" w:defQFormat="0" w:count="267">
    <w:lsdException w:name="footnote text" w:uiPriority="99"/>
    <w:lsdException w:name="footnote reference" w:uiPriority="99"/>
    <w:lsdException w:name="Hyperlink" w:uiPriority="99"/>
    <w:lsdException w:name="Normal (Web)" w:uiPriority="99"/>
    <w:lsdException w:name="List Paragraph" w:uiPriority="34" w:qFormat="1"/>
  </w:latentStyles>
  <w:style w:type="paragraph" w:default="1" w:styleId="Normal">
    <w:name w:val="Normal"/>
    <w:qFormat/>
    <w:rsid w:val="0073448A"/>
  </w:style>
  <w:style w:type="paragraph" w:styleId="Heading1">
    <w:name w:val="heading 1"/>
    <w:basedOn w:val="Normal"/>
    <w:next w:val="Normal"/>
    <w:link w:val="Heading1Char"/>
    <w:uiPriority w:val="9"/>
    <w:qFormat/>
    <w:rsid w:val="00BF6D10"/>
    <w:pPr>
      <w:keepNext/>
      <w:spacing w:before="240" w:after="60"/>
      <w:outlineLvl w:val="0"/>
    </w:pPr>
    <w:rPr>
      <w:rFonts w:ascii="Calibri" w:eastAsia="MS Gothic" w:hAnsi="Calibri"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C6B6C"/>
    <w:pPr>
      <w:spacing w:after="0" w:line="240" w:lineRule="auto"/>
    </w:pPr>
    <w:rPr>
      <w:rFonts w:ascii="Segoe UI" w:hAnsi="Segoe UI" w:cs="Segoe UI"/>
      <w:sz w:val="18"/>
      <w:szCs w:val="18"/>
    </w:rPr>
  </w:style>
  <w:style w:type="character" w:customStyle="1" w:styleId="BalloonTextChar">
    <w:name w:val="Balloon Text Char"/>
    <w:basedOn w:val="DefaultParagraphFont"/>
    <w:uiPriority w:val="99"/>
    <w:semiHidden/>
    <w:rsid w:val="00902AF9"/>
    <w:rPr>
      <w:rFonts w:ascii="Lucida Grande" w:hAnsi="Lucida Grande"/>
      <w:sz w:val="18"/>
      <w:szCs w:val="18"/>
    </w:rPr>
  </w:style>
  <w:style w:type="character" w:customStyle="1" w:styleId="BalloonTextChar0">
    <w:name w:val="Balloon Text Char"/>
    <w:basedOn w:val="DefaultParagraphFont"/>
    <w:uiPriority w:val="99"/>
    <w:semiHidden/>
    <w:rsid w:val="00263AB8"/>
    <w:rPr>
      <w:rFonts w:ascii="Lucida Grande" w:hAnsi="Lucida Grande" w:cs="Lucida Grande"/>
      <w:sz w:val="18"/>
      <w:szCs w:val="18"/>
    </w:rPr>
  </w:style>
  <w:style w:type="character" w:customStyle="1" w:styleId="BalloonTextChar2">
    <w:name w:val="Balloon Text Char"/>
    <w:basedOn w:val="DefaultParagraphFont"/>
    <w:uiPriority w:val="99"/>
    <w:semiHidden/>
    <w:rsid w:val="00263AB8"/>
    <w:rPr>
      <w:rFonts w:ascii="Lucida Grande" w:hAnsi="Lucida Grande" w:cs="Lucida Grande"/>
      <w:sz w:val="18"/>
      <w:szCs w:val="18"/>
    </w:rPr>
  </w:style>
  <w:style w:type="character" w:customStyle="1" w:styleId="BalloonTextChar3">
    <w:name w:val="Balloon Text Char"/>
    <w:basedOn w:val="DefaultParagraphFont"/>
    <w:uiPriority w:val="99"/>
    <w:semiHidden/>
    <w:rsid w:val="00263AB8"/>
    <w:rPr>
      <w:rFonts w:ascii="Lucida Grande" w:hAnsi="Lucida Grande" w:cs="Lucida Grande"/>
      <w:sz w:val="18"/>
      <w:szCs w:val="18"/>
    </w:rPr>
  </w:style>
  <w:style w:type="character" w:customStyle="1" w:styleId="BalloonTextChar4">
    <w:name w:val="Balloon Text Char"/>
    <w:basedOn w:val="DefaultParagraphFont"/>
    <w:uiPriority w:val="99"/>
    <w:semiHidden/>
    <w:rsid w:val="00263AB8"/>
    <w:rPr>
      <w:rFonts w:ascii="Lucida Grande" w:hAnsi="Lucida Grande" w:cs="Lucida Grande"/>
      <w:sz w:val="18"/>
      <w:szCs w:val="18"/>
    </w:rPr>
  </w:style>
  <w:style w:type="paragraph" w:customStyle="1" w:styleId="MediumGrid1-Accent21">
    <w:name w:val="Medium Grid 1 - Accent 21"/>
    <w:basedOn w:val="Normal"/>
    <w:uiPriority w:val="34"/>
    <w:qFormat/>
    <w:rsid w:val="00F938D8"/>
    <w:pPr>
      <w:spacing w:after="0" w:line="240" w:lineRule="auto"/>
      <w:ind w:left="720"/>
      <w:contextualSpacing/>
    </w:pPr>
    <w:rPr>
      <w:rFonts w:ascii="Cambria" w:eastAsia="MS Mincho" w:hAnsi="Cambria" w:cs="Times New Roman"/>
      <w:sz w:val="24"/>
      <w:szCs w:val="24"/>
      <w:lang w:val="en-US"/>
    </w:rPr>
  </w:style>
  <w:style w:type="paragraph" w:customStyle="1" w:styleId="NoSpacing1">
    <w:name w:val="No Spacing1"/>
    <w:qFormat/>
    <w:rsid w:val="00F938D8"/>
    <w:pPr>
      <w:spacing w:after="0" w:line="240" w:lineRule="auto"/>
    </w:pPr>
    <w:rPr>
      <w:rFonts w:ascii="Calibri" w:eastAsia="Calibri" w:hAnsi="Calibri" w:cs="Times New Roman"/>
      <w:lang w:val="ru-RU"/>
    </w:rPr>
  </w:style>
  <w:style w:type="paragraph" w:styleId="FootnoteText">
    <w:name w:val="footnote text"/>
    <w:basedOn w:val="Normal"/>
    <w:link w:val="FootnoteTextChar"/>
    <w:uiPriority w:val="99"/>
    <w:unhideWhenUsed/>
    <w:rsid w:val="002865F3"/>
    <w:pPr>
      <w:spacing w:after="0" w:line="240" w:lineRule="auto"/>
    </w:pPr>
    <w:rPr>
      <w:sz w:val="20"/>
      <w:szCs w:val="20"/>
    </w:rPr>
  </w:style>
  <w:style w:type="character" w:customStyle="1" w:styleId="FootnoteTextChar">
    <w:name w:val="Footnote Text Char"/>
    <w:basedOn w:val="DefaultParagraphFont"/>
    <w:link w:val="FootnoteText"/>
    <w:uiPriority w:val="99"/>
    <w:rsid w:val="002865F3"/>
    <w:rPr>
      <w:sz w:val="20"/>
      <w:szCs w:val="20"/>
    </w:rPr>
  </w:style>
  <w:style w:type="character" w:styleId="FootnoteReference">
    <w:name w:val="footnote reference"/>
    <w:basedOn w:val="DefaultParagraphFont"/>
    <w:uiPriority w:val="99"/>
    <w:unhideWhenUsed/>
    <w:rsid w:val="002865F3"/>
    <w:rPr>
      <w:vertAlign w:val="superscript"/>
    </w:rPr>
  </w:style>
  <w:style w:type="character" w:styleId="CommentReference">
    <w:name w:val="annotation reference"/>
    <w:basedOn w:val="DefaultParagraphFont"/>
    <w:uiPriority w:val="99"/>
    <w:semiHidden/>
    <w:unhideWhenUsed/>
    <w:rsid w:val="00DC6B6C"/>
    <w:rPr>
      <w:sz w:val="16"/>
      <w:szCs w:val="16"/>
    </w:rPr>
  </w:style>
  <w:style w:type="paragraph" w:styleId="CommentText">
    <w:name w:val="annotation text"/>
    <w:basedOn w:val="Normal"/>
    <w:link w:val="CommentTextChar"/>
    <w:uiPriority w:val="99"/>
    <w:semiHidden/>
    <w:unhideWhenUsed/>
    <w:rsid w:val="00DC6B6C"/>
    <w:pPr>
      <w:spacing w:line="240" w:lineRule="auto"/>
    </w:pPr>
    <w:rPr>
      <w:sz w:val="20"/>
      <w:szCs w:val="20"/>
    </w:rPr>
  </w:style>
  <w:style w:type="character" w:customStyle="1" w:styleId="CommentTextChar">
    <w:name w:val="Comment Text Char"/>
    <w:basedOn w:val="DefaultParagraphFont"/>
    <w:link w:val="CommentText"/>
    <w:uiPriority w:val="99"/>
    <w:semiHidden/>
    <w:rsid w:val="00DC6B6C"/>
    <w:rPr>
      <w:sz w:val="20"/>
      <w:szCs w:val="20"/>
    </w:rPr>
  </w:style>
  <w:style w:type="paragraph" w:styleId="CommentSubject">
    <w:name w:val="annotation subject"/>
    <w:basedOn w:val="CommentText"/>
    <w:next w:val="CommentText"/>
    <w:link w:val="CommentSubjectChar"/>
    <w:uiPriority w:val="99"/>
    <w:semiHidden/>
    <w:unhideWhenUsed/>
    <w:rsid w:val="00DC6B6C"/>
    <w:rPr>
      <w:b/>
      <w:bCs/>
    </w:rPr>
  </w:style>
  <w:style w:type="character" w:customStyle="1" w:styleId="CommentSubjectChar">
    <w:name w:val="Comment Subject Char"/>
    <w:basedOn w:val="CommentTextChar"/>
    <w:link w:val="CommentSubject"/>
    <w:uiPriority w:val="99"/>
    <w:semiHidden/>
    <w:rsid w:val="00DC6B6C"/>
    <w:rPr>
      <w:b/>
      <w:bCs/>
      <w:sz w:val="20"/>
      <w:szCs w:val="20"/>
    </w:rPr>
  </w:style>
  <w:style w:type="character" w:customStyle="1" w:styleId="BalloonTextChar1">
    <w:name w:val="Balloon Text Char1"/>
    <w:basedOn w:val="DefaultParagraphFont"/>
    <w:link w:val="BalloonText"/>
    <w:uiPriority w:val="99"/>
    <w:semiHidden/>
    <w:rsid w:val="00DC6B6C"/>
    <w:rPr>
      <w:rFonts w:ascii="Segoe UI" w:hAnsi="Segoe UI" w:cs="Segoe UI"/>
      <w:sz w:val="18"/>
      <w:szCs w:val="18"/>
    </w:rPr>
  </w:style>
  <w:style w:type="paragraph" w:styleId="ListParagraph">
    <w:name w:val="List Paragraph"/>
    <w:basedOn w:val="Normal"/>
    <w:uiPriority w:val="34"/>
    <w:qFormat/>
    <w:rsid w:val="0094573A"/>
    <w:pPr>
      <w:spacing w:after="0" w:line="240" w:lineRule="auto"/>
      <w:ind w:left="720"/>
      <w:contextualSpacing/>
    </w:pPr>
    <w:rPr>
      <w:rFonts w:eastAsiaTheme="minorEastAsia"/>
      <w:sz w:val="24"/>
      <w:szCs w:val="24"/>
      <w:lang w:val="en-US"/>
    </w:rPr>
  </w:style>
  <w:style w:type="character" w:styleId="Hyperlink">
    <w:name w:val="Hyperlink"/>
    <w:uiPriority w:val="99"/>
    <w:unhideWhenUsed/>
    <w:rsid w:val="00A7414A"/>
    <w:rPr>
      <w:color w:val="0000FF"/>
      <w:u w:val="single"/>
    </w:rPr>
  </w:style>
  <w:style w:type="character" w:customStyle="1" w:styleId="Heading1Char">
    <w:name w:val="Heading 1 Char"/>
    <w:basedOn w:val="DefaultParagraphFont"/>
    <w:link w:val="Heading1"/>
    <w:uiPriority w:val="9"/>
    <w:rsid w:val="00BF6D10"/>
    <w:rPr>
      <w:rFonts w:ascii="Calibri" w:eastAsia="MS Gothic" w:hAnsi="Calibri" w:cs="Times New Roman"/>
      <w:b/>
      <w:bCs/>
      <w:kern w:val="32"/>
      <w:sz w:val="32"/>
      <w:szCs w:val="32"/>
    </w:rPr>
  </w:style>
  <w:style w:type="character" w:styleId="Emphasis">
    <w:name w:val="Emphasis"/>
    <w:uiPriority w:val="20"/>
    <w:qFormat/>
    <w:rsid w:val="002D68ED"/>
    <w:rPr>
      <w:i/>
      <w:iCs/>
    </w:rPr>
  </w:style>
  <w:style w:type="character" w:customStyle="1" w:styleId="apple-converted-space">
    <w:name w:val="apple-converted-space"/>
    <w:rsid w:val="002D68ED"/>
  </w:style>
  <w:style w:type="paragraph" w:styleId="Subtitle">
    <w:name w:val="Subtitle"/>
    <w:basedOn w:val="Normal"/>
    <w:next w:val="Normal"/>
    <w:link w:val="SubtitleChar"/>
    <w:uiPriority w:val="11"/>
    <w:qFormat/>
    <w:rsid w:val="002A134A"/>
    <w:pPr>
      <w:spacing w:after="60"/>
      <w:jc w:val="center"/>
      <w:outlineLvl w:val="1"/>
    </w:pPr>
    <w:rPr>
      <w:rFonts w:ascii="Calibri" w:eastAsia="MS Gothic" w:hAnsi="Calibri" w:cs="Times New Roman"/>
      <w:sz w:val="24"/>
      <w:szCs w:val="24"/>
    </w:rPr>
  </w:style>
  <w:style w:type="character" w:customStyle="1" w:styleId="SubtitleChar">
    <w:name w:val="Subtitle Char"/>
    <w:basedOn w:val="DefaultParagraphFont"/>
    <w:link w:val="Subtitle"/>
    <w:uiPriority w:val="11"/>
    <w:rsid w:val="002A134A"/>
    <w:rPr>
      <w:rFonts w:ascii="Calibri" w:eastAsia="MS Gothic" w:hAnsi="Calibri" w:cs="Times New Roman"/>
      <w:sz w:val="24"/>
      <w:szCs w:val="24"/>
    </w:rPr>
  </w:style>
  <w:style w:type="character" w:styleId="FollowedHyperlink">
    <w:name w:val="FollowedHyperlink"/>
    <w:basedOn w:val="DefaultParagraphFont"/>
    <w:rsid w:val="00921CB4"/>
    <w:rPr>
      <w:color w:val="800080" w:themeColor="followedHyperlink"/>
      <w:u w:val="single"/>
    </w:rPr>
  </w:style>
  <w:style w:type="paragraph" w:styleId="NormalWeb">
    <w:name w:val="Normal (Web)"/>
    <w:basedOn w:val="Normal"/>
    <w:uiPriority w:val="99"/>
    <w:rsid w:val="00A06824"/>
    <w:pPr>
      <w:spacing w:beforeLines="1" w:afterLines="1" w:line="240" w:lineRule="auto"/>
    </w:pPr>
    <w:rPr>
      <w:rFonts w:ascii="Times" w:hAnsi="Times"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0" w:defSemiHidden="0" w:defUnhideWhenUsed="0" w:defQFormat="0" w:count="267">
    <w:lsdException w:name="footnote text" w:uiPriority="99"/>
    <w:lsdException w:name="footnote reference" w:uiPriority="99"/>
    <w:lsdException w:name="Hyperlink" w:uiPriority="99"/>
    <w:lsdException w:name="Normal (Web)" w:uiPriority="99"/>
    <w:lsdException w:name="List Paragraph" w:uiPriority="34" w:qFormat="1"/>
  </w:latentStyles>
  <w:style w:type="paragraph" w:default="1" w:styleId="Normal">
    <w:name w:val="Normal"/>
    <w:qFormat/>
    <w:rsid w:val="0073448A"/>
  </w:style>
  <w:style w:type="paragraph" w:styleId="Heading1">
    <w:name w:val="heading 1"/>
    <w:basedOn w:val="Normal"/>
    <w:next w:val="Normal"/>
    <w:link w:val="Heading1Char"/>
    <w:uiPriority w:val="9"/>
    <w:qFormat/>
    <w:rsid w:val="00BF6D10"/>
    <w:pPr>
      <w:keepNext/>
      <w:spacing w:before="240" w:after="60"/>
      <w:outlineLvl w:val="0"/>
    </w:pPr>
    <w:rPr>
      <w:rFonts w:ascii="Calibri" w:eastAsia="MS Gothic" w:hAnsi="Calibri"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C6B6C"/>
    <w:pPr>
      <w:spacing w:after="0" w:line="240" w:lineRule="auto"/>
    </w:pPr>
    <w:rPr>
      <w:rFonts w:ascii="Segoe UI" w:hAnsi="Segoe UI" w:cs="Segoe UI"/>
      <w:sz w:val="18"/>
      <w:szCs w:val="18"/>
    </w:rPr>
  </w:style>
  <w:style w:type="character" w:customStyle="1" w:styleId="BalloonTextChar">
    <w:name w:val="Balloon Text Char"/>
    <w:basedOn w:val="DefaultParagraphFont"/>
    <w:uiPriority w:val="99"/>
    <w:semiHidden/>
    <w:rsid w:val="00902AF9"/>
    <w:rPr>
      <w:rFonts w:ascii="Lucida Grande" w:hAnsi="Lucida Grande"/>
      <w:sz w:val="18"/>
      <w:szCs w:val="18"/>
    </w:rPr>
  </w:style>
  <w:style w:type="character" w:customStyle="1" w:styleId="BalloonTextChar0">
    <w:name w:val="Balloon Text Char"/>
    <w:basedOn w:val="DefaultParagraphFont"/>
    <w:uiPriority w:val="99"/>
    <w:semiHidden/>
    <w:rsid w:val="00263AB8"/>
    <w:rPr>
      <w:rFonts w:ascii="Lucida Grande" w:hAnsi="Lucida Grande" w:cs="Lucida Grande"/>
      <w:sz w:val="18"/>
      <w:szCs w:val="18"/>
    </w:rPr>
  </w:style>
  <w:style w:type="character" w:customStyle="1" w:styleId="BalloonTextChar2">
    <w:name w:val="Balloon Text Char"/>
    <w:basedOn w:val="DefaultParagraphFont"/>
    <w:uiPriority w:val="99"/>
    <w:semiHidden/>
    <w:rsid w:val="00263AB8"/>
    <w:rPr>
      <w:rFonts w:ascii="Lucida Grande" w:hAnsi="Lucida Grande" w:cs="Lucida Grande"/>
      <w:sz w:val="18"/>
      <w:szCs w:val="18"/>
    </w:rPr>
  </w:style>
  <w:style w:type="character" w:customStyle="1" w:styleId="BalloonTextChar3">
    <w:name w:val="Balloon Text Char"/>
    <w:basedOn w:val="DefaultParagraphFont"/>
    <w:uiPriority w:val="99"/>
    <w:semiHidden/>
    <w:rsid w:val="00263AB8"/>
    <w:rPr>
      <w:rFonts w:ascii="Lucida Grande" w:hAnsi="Lucida Grande" w:cs="Lucida Grande"/>
      <w:sz w:val="18"/>
      <w:szCs w:val="18"/>
    </w:rPr>
  </w:style>
  <w:style w:type="character" w:customStyle="1" w:styleId="BalloonTextChar4">
    <w:name w:val="Balloon Text Char"/>
    <w:basedOn w:val="DefaultParagraphFont"/>
    <w:uiPriority w:val="99"/>
    <w:semiHidden/>
    <w:rsid w:val="00263AB8"/>
    <w:rPr>
      <w:rFonts w:ascii="Lucida Grande" w:hAnsi="Lucida Grande" w:cs="Lucida Grande"/>
      <w:sz w:val="18"/>
      <w:szCs w:val="18"/>
    </w:rPr>
  </w:style>
  <w:style w:type="paragraph" w:customStyle="1" w:styleId="MediumGrid1-Accent21">
    <w:name w:val="Medium Grid 1 - Accent 21"/>
    <w:basedOn w:val="Normal"/>
    <w:uiPriority w:val="34"/>
    <w:qFormat/>
    <w:rsid w:val="00F938D8"/>
    <w:pPr>
      <w:spacing w:after="0" w:line="240" w:lineRule="auto"/>
      <w:ind w:left="720"/>
      <w:contextualSpacing/>
    </w:pPr>
    <w:rPr>
      <w:rFonts w:ascii="Cambria" w:eastAsia="MS Mincho" w:hAnsi="Cambria" w:cs="Times New Roman"/>
      <w:sz w:val="24"/>
      <w:szCs w:val="24"/>
      <w:lang w:val="en-US"/>
    </w:rPr>
  </w:style>
  <w:style w:type="paragraph" w:customStyle="1" w:styleId="NoSpacing1">
    <w:name w:val="No Spacing1"/>
    <w:qFormat/>
    <w:rsid w:val="00F938D8"/>
    <w:pPr>
      <w:spacing w:after="0" w:line="240" w:lineRule="auto"/>
    </w:pPr>
    <w:rPr>
      <w:rFonts w:ascii="Calibri" w:eastAsia="Calibri" w:hAnsi="Calibri" w:cs="Times New Roman"/>
      <w:lang w:val="ru-RU"/>
    </w:rPr>
  </w:style>
  <w:style w:type="paragraph" w:styleId="FootnoteText">
    <w:name w:val="footnote text"/>
    <w:basedOn w:val="Normal"/>
    <w:link w:val="FootnoteTextChar"/>
    <w:uiPriority w:val="99"/>
    <w:unhideWhenUsed/>
    <w:rsid w:val="002865F3"/>
    <w:pPr>
      <w:spacing w:after="0" w:line="240" w:lineRule="auto"/>
    </w:pPr>
    <w:rPr>
      <w:sz w:val="20"/>
      <w:szCs w:val="20"/>
    </w:rPr>
  </w:style>
  <w:style w:type="character" w:customStyle="1" w:styleId="FootnoteTextChar">
    <w:name w:val="Footnote Text Char"/>
    <w:basedOn w:val="DefaultParagraphFont"/>
    <w:link w:val="FootnoteText"/>
    <w:uiPriority w:val="99"/>
    <w:rsid w:val="002865F3"/>
    <w:rPr>
      <w:sz w:val="20"/>
      <w:szCs w:val="20"/>
    </w:rPr>
  </w:style>
  <w:style w:type="character" w:styleId="FootnoteReference">
    <w:name w:val="footnote reference"/>
    <w:basedOn w:val="DefaultParagraphFont"/>
    <w:uiPriority w:val="99"/>
    <w:unhideWhenUsed/>
    <w:rsid w:val="002865F3"/>
    <w:rPr>
      <w:vertAlign w:val="superscript"/>
    </w:rPr>
  </w:style>
  <w:style w:type="character" w:styleId="CommentReference">
    <w:name w:val="annotation reference"/>
    <w:basedOn w:val="DefaultParagraphFont"/>
    <w:uiPriority w:val="99"/>
    <w:semiHidden/>
    <w:unhideWhenUsed/>
    <w:rsid w:val="00DC6B6C"/>
    <w:rPr>
      <w:sz w:val="16"/>
      <w:szCs w:val="16"/>
    </w:rPr>
  </w:style>
  <w:style w:type="paragraph" w:styleId="CommentText">
    <w:name w:val="annotation text"/>
    <w:basedOn w:val="Normal"/>
    <w:link w:val="CommentTextChar"/>
    <w:uiPriority w:val="99"/>
    <w:semiHidden/>
    <w:unhideWhenUsed/>
    <w:rsid w:val="00DC6B6C"/>
    <w:pPr>
      <w:spacing w:line="240" w:lineRule="auto"/>
    </w:pPr>
    <w:rPr>
      <w:sz w:val="20"/>
      <w:szCs w:val="20"/>
    </w:rPr>
  </w:style>
  <w:style w:type="character" w:customStyle="1" w:styleId="CommentTextChar">
    <w:name w:val="Comment Text Char"/>
    <w:basedOn w:val="DefaultParagraphFont"/>
    <w:link w:val="CommentText"/>
    <w:uiPriority w:val="99"/>
    <w:semiHidden/>
    <w:rsid w:val="00DC6B6C"/>
    <w:rPr>
      <w:sz w:val="20"/>
      <w:szCs w:val="20"/>
    </w:rPr>
  </w:style>
  <w:style w:type="paragraph" w:styleId="CommentSubject">
    <w:name w:val="annotation subject"/>
    <w:basedOn w:val="CommentText"/>
    <w:next w:val="CommentText"/>
    <w:link w:val="CommentSubjectChar"/>
    <w:uiPriority w:val="99"/>
    <w:semiHidden/>
    <w:unhideWhenUsed/>
    <w:rsid w:val="00DC6B6C"/>
    <w:rPr>
      <w:b/>
      <w:bCs/>
    </w:rPr>
  </w:style>
  <w:style w:type="character" w:customStyle="1" w:styleId="CommentSubjectChar">
    <w:name w:val="Comment Subject Char"/>
    <w:basedOn w:val="CommentTextChar"/>
    <w:link w:val="CommentSubject"/>
    <w:uiPriority w:val="99"/>
    <w:semiHidden/>
    <w:rsid w:val="00DC6B6C"/>
    <w:rPr>
      <w:b/>
      <w:bCs/>
      <w:sz w:val="20"/>
      <w:szCs w:val="20"/>
    </w:rPr>
  </w:style>
  <w:style w:type="character" w:customStyle="1" w:styleId="BalloonTextChar1">
    <w:name w:val="Balloon Text Char1"/>
    <w:basedOn w:val="DefaultParagraphFont"/>
    <w:link w:val="BalloonText"/>
    <w:uiPriority w:val="99"/>
    <w:semiHidden/>
    <w:rsid w:val="00DC6B6C"/>
    <w:rPr>
      <w:rFonts w:ascii="Segoe UI" w:hAnsi="Segoe UI" w:cs="Segoe UI"/>
      <w:sz w:val="18"/>
      <w:szCs w:val="18"/>
    </w:rPr>
  </w:style>
  <w:style w:type="paragraph" w:styleId="ListParagraph">
    <w:name w:val="List Paragraph"/>
    <w:basedOn w:val="Normal"/>
    <w:uiPriority w:val="34"/>
    <w:qFormat/>
    <w:rsid w:val="0094573A"/>
    <w:pPr>
      <w:spacing w:after="0" w:line="240" w:lineRule="auto"/>
      <w:ind w:left="720"/>
      <w:contextualSpacing/>
    </w:pPr>
    <w:rPr>
      <w:rFonts w:eastAsiaTheme="minorEastAsia"/>
      <w:sz w:val="24"/>
      <w:szCs w:val="24"/>
      <w:lang w:val="en-US"/>
    </w:rPr>
  </w:style>
  <w:style w:type="character" w:styleId="Hyperlink">
    <w:name w:val="Hyperlink"/>
    <w:uiPriority w:val="99"/>
    <w:unhideWhenUsed/>
    <w:rsid w:val="00A7414A"/>
    <w:rPr>
      <w:color w:val="0000FF"/>
      <w:u w:val="single"/>
    </w:rPr>
  </w:style>
  <w:style w:type="character" w:customStyle="1" w:styleId="Heading1Char">
    <w:name w:val="Heading 1 Char"/>
    <w:basedOn w:val="DefaultParagraphFont"/>
    <w:link w:val="Heading1"/>
    <w:uiPriority w:val="9"/>
    <w:rsid w:val="00BF6D10"/>
    <w:rPr>
      <w:rFonts w:ascii="Calibri" w:eastAsia="MS Gothic" w:hAnsi="Calibri" w:cs="Times New Roman"/>
      <w:b/>
      <w:bCs/>
      <w:kern w:val="32"/>
      <w:sz w:val="32"/>
      <w:szCs w:val="32"/>
    </w:rPr>
  </w:style>
  <w:style w:type="character" w:styleId="Emphasis">
    <w:name w:val="Emphasis"/>
    <w:uiPriority w:val="20"/>
    <w:qFormat/>
    <w:rsid w:val="002D68ED"/>
    <w:rPr>
      <w:i/>
      <w:iCs/>
    </w:rPr>
  </w:style>
  <w:style w:type="character" w:customStyle="1" w:styleId="apple-converted-space">
    <w:name w:val="apple-converted-space"/>
    <w:rsid w:val="002D68ED"/>
  </w:style>
  <w:style w:type="paragraph" w:styleId="Subtitle">
    <w:name w:val="Subtitle"/>
    <w:basedOn w:val="Normal"/>
    <w:next w:val="Normal"/>
    <w:link w:val="SubtitleChar"/>
    <w:uiPriority w:val="11"/>
    <w:qFormat/>
    <w:rsid w:val="002A134A"/>
    <w:pPr>
      <w:spacing w:after="60"/>
      <w:jc w:val="center"/>
      <w:outlineLvl w:val="1"/>
    </w:pPr>
    <w:rPr>
      <w:rFonts w:ascii="Calibri" w:eastAsia="MS Gothic" w:hAnsi="Calibri" w:cs="Times New Roman"/>
      <w:sz w:val="24"/>
      <w:szCs w:val="24"/>
    </w:rPr>
  </w:style>
  <w:style w:type="character" w:customStyle="1" w:styleId="SubtitleChar">
    <w:name w:val="Subtitle Char"/>
    <w:basedOn w:val="DefaultParagraphFont"/>
    <w:link w:val="Subtitle"/>
    <w:uiPriority w:val="11"/>
    <w:rsid w:val="002A134A"/>
    <w:rPr>
      <w:rFonts w:ascii="Calibri" w:eastAsia="MS Gothic" w:hAnsi="Calibri" w:cs="Times New Roman"/>
      <w:sz w:val="24"/>
      <w:szCs w:val="24"/>
    </w:rPr>
  </w:style>
  <w:style w:type="character" w:styleId="FollowedHyperlink">
    <w:name w:val="FollowedHyperlink"/>
    <w:basedOn w:val="DefaultParagraphFont"/>
    <w:rsid w:val="00921CB4"/>
    <w:rPr>
      <w:color w:val="800080" w:themeColor="followedHyperlink"/>
      <w:u w:val="single"/>
    </w:rPr>
  </w:style>
  <w:style w:type="paragraph" w:styleId="NormalWeb">
    <w:name w:val="Normal (Web)"/>
    <w:basedOn w:val="Normal"/>
    <w:uiPriority w:val="99"/>
    <w:rsid w:val="00A06824"/>
    <w:pPr>
      <w:spacing w:beforeLines="1" w:afterLines="1" w:line="240" w:lineRule="auto"/>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231435">
      <w:bodyDiv w:val="1"/>
      <w:marLeft w:val="0"/>
      <w:marRight w:val="0"/>
      <w:marTop w:val="0"/>
      <w:marBottom w:val="0"/>
      <w:divBdr>
        <w:top w:val="none" w:sz="0" w:space="0" w:color="auto"/>
        <w:left w:val="none" w:sz="0" w:space="0" w:color="auto"/>
        <w:bottom w:val="none" w:sz="0" w:space="0" w:color="auto"/>
        <w:right w:val="none" w:sz="0" w:space="0" w:color="auto"/>
      </w:divBdr>
      <w:divsChild>
        <w:div w:id="109206485">
          <w:marLeft w:val="0"/>
          <w:marRight w:val="0"/>
          <w:marTop w:val="0"/>
          <w:marBottom w:val="0"/>
          <w:divBdr>
            <w:top w:val="none" w:sz="0" w:space="0" w:color="auto"/>
            <w:left w:val="none" w:sz="0" w:space="0" w:color="auto"/>
            <w:bottom w:val="none" w:sz="0" w:space="0" w:color="auto"/>
            <w:right w:val="none" w:sz="0" w:space="0" w:color="auto"/>
          </w:divBdr>
          <w:divsChild>
            <w:div w:id="1599020778">
              <w:marLeft w:val="0"/>
              <w:marRight w:val="0"/>
              <w:marTop w:val="0"/>
              <w:marBottom w:val="0"/>
              <w:divBdr>
                <w:top w:val="none" w:sz="0" w:space="0" w:color="auto"/>
                <w:left w:val="none" w:sz="0" w:space="0" w:color="auto"/>
                <w:bottom w:val="none" w:sz="0" w:space="0" w:color="auto"/>
                <w:right w:val="none" w:sz="0" w:space="0" w:color="auto"/>
              </w:divBdr>
              <w:divsChild>
                <w:div w:id="1705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447631">
      <w:bodyDiv w:val="1"/>
      <w:marLeft w:val="0"/>
      <w:marRight w:val="0"/>
      <w:marTop w:val="0"/>
      <w:marBottom w:val="0"/>
      <w:divBdr>
        <w:top w:val="none" w:sz="0" w:space="0" w:color="auto"/>
        <w:left w:val="none" w:sz="0" w:space="0" w:color="auto"/>
        <w:bottom w:val="none" w:sz="0" w:space="0" w:color="auto"/>
        <w:right w:val="none" w:sz="0" w:space="0" w:color="auto"/>
      </w:divBdr>
      <w:divsChild>
        <w:div w:id="604507254">
          <w:marLeft w:val="0"/>
          <w:marRight w:val="0"/>
          <w:marTop w:val="0"/>
          <w:marBottom w:val="0"/>
          <w:divBdr>
            <w:top w:val="none" w:sz="0" w:space="0" w:color="auto"/>
            <w:left w:val="none" w:sz="0" w:space="0" w:color="auto"/>
            <w:bottom w:val="none" w:sz="0" w:space="0" w:color="auto"/>
            <w:right w:val="none" w:sz="0" w:space="0" w:color="auto"/>
          </w:divBdr>
          <w:divsChild>
            <w:div w:id="1604608141">
              <w:marLeft w:val="0"/>
              <w:marRight w:val="0"/>
              <w:marTop w:val="0"/>
              <w:marBottom w:val="0"/>
              <w:divBdr>
                <w:top w:val="none" w:sz="0" w:space="0" w:color="auto"/>
                <w:left w:val="none" w:sz="0" w:space="0" w:color="auto"/>
                <w:bottom w:val="none" w:sz="0" w:space="0" w:color="auto"/>
                <w:right w:val="none" w:sz="0" w:space="0" w:color="auto"/>
              </w:divBdr>
              <w:divsChild>
                <w:div w:id="155249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0336">
      <w:bodyDiv w:val="1"/>
      <w:marLeft w:val="0"/>
      <w:marRight w:val="0"/>
      <w:marTop w:val="0"/>
      <w:marBottom w:val="0"/>
      <w:divBdr>
        <w:top w:val="none" w:sz="0" w:space="0" w:color="auto"/>
        <w:left w:val="none" w:sz="0" w:space="0" w:color="auto"/>
        <w:bottom w:val="none" w:sz="0" w:space="0" w:color="auto"/>
        <w:right w:val="none" w:sz="0" w:space="0" w:color="auto"/>
      </w:divBdr>
    </w:div>
    <w:div w:id="1274748941">
      <w:bodyDiv w:val="1"/>
      <w:marLeft w:val="0"/>
      <w:marRight w:val="0"/>
      <w:marTop w:val="0"/>
      <w:marBottom w:val="0"/>
      <w:divBdr>
        <w:top w:val="none" w:sz="0" w:space="0" w:color="auto"/>
        <w:left w:val="none" w:sz="0" w:space="0" w:color="auto"/>
        <w:bottom w:val="none" w:sz="0" w:space="0" w:color="auto"/>
        <w:right w:val="none" w:sz="0" w:space="0" w:color="auto"/>
      </w:divBdr>
      <w:divsChild>
        <w:div w:id="481579029">
          <w:marLeft w:val="0"/>
          <w:marRight w:val="0"/>
          <w:marTop w:val="0"/>
          <w:marBottom w:val="0"/>
          <w:divBdr>
            <w:top w:val="none" w:sz="0" w:space="0" w:color="auto"/>
            <w:left w:val="none" w:sz="0" w:space="0" w:color="auto"/>
            <w:bottom w:val="none" w:sz="0" w:space="0" w:color="auto"/>
            <w:right w:val="none" w:sz="0" w:space="0" w:color="auto"/>
          </w:divBdr>
          <w:divsChild>
            <w:div w:id="442651614">
              <w:marLeft w:val="0"/>
              <w:marRight w:val="0"/>
              <w:marTop w:val="0"/>
              <w:marBottom w:val="0"/>
              <w:divBdr>
                <w:top w:val="none" w:sz="0" w:space="0" w:color="auto"/>
                <w:left w:val="none" w:sz="0" w:space="0" w:color="auto"/>
                <w:bottom w:val="none" w:sz="0" w:space="0" w:color="auto"/>
                <w:right w:val="none" w:sz="0" w:space="0" w:color="auto"/>
              </w:divBdr>
              <w:divsChild>
                <w:div w:id="100593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580955">
      <w:bodyDiv w:val="1"/>
      <w:marLeft w:val="0"/>
      <w:marRight w:val="0"/>
      <w:marTop w:val="0"/>
      <w:marBottom w:val="0"/>
      <w:divBdr>
        <w:top w:val="none" w:sz="0" w:space="0" w:color="auto"/>
        <w:left w:val="none" w:sz="0" w:space="0" w:color="auto"/>
        <w:bottom w:val="none" w:sz="0" w:space="0" w:color="auto"/>
        <w:right w:val="none" w:sz="0" w:space="0" w:color="auto"/>
      </w:divBdr>
      <w:divsChild>
        <w:div w:id="917791729">
          <w:marLeft w:val="0"/>
          <w:marRight w:val="0"/>
          <w:marTop w:val="0"/>
          <w:marBottom w:val="0"/>
          <w:divBdr>
            <w:top w:val="none" w:sz="0" w:space="0" w:color="auto"/>
            <w:left w:val="none" w:sz="0" w:space="0" w:color="auto"/>
            <w:bottom w:val="none" w:sz="0" w:space="0" w:color="auto"/>
            <w:right w:val="none" w:sz="0" w:space="0" w:color="auto"/>
          </w:divBdr>
          <w:divsChild>
            <w:div w:id="1054616747">
              <w:marLeft w:val="0"/>
              <w:marRight w:val="0"/>
              <w:marTop w:val="0"/>
              <w:marBottom w:val="0"/>
              <w:divBdr>
                <w:top w:val="none" w:sz="0" w:space="0" w:color="auto"/>
                <w:left w:val="none" w:sz="0" w:space="0" w:color="auto"/>
                <w:bottom w:val="none" w:sz="0" w:space="0" w:color="auto"/>
                <w:right w:val="none" w:sz="0" w:space="0" w:color="auto"/>
              </w:divBdr>
              <w:divsChild>
                <w:div w:id="6771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892342">
      <w:bodyDiv w:val="1"/>
      <w:marLeft w:val="0"/>
      <w:marRight w:val="0"/>
      <w:marTop w:val="0"/>
      <w:marBottom w:val="0"/>
      <w:divBdr>
        <w:top w:val="none" w:sz="0" w:space="0" w:color="auto"/>
        <w:left w:val="none" w:sz="0" w:space="0" w:color="auto"/>
        <w:bottom w:val="none" w:sz="0" w:space="0" w:color="auto"/>
        <w:right w:val="none" w:sz="0" w:space="0" w:color="auto"/>
      </w:divBdr>
    </w:div>
    <w:div w:id="2124297609">
      <w:bodyDiv w:val="1"/>
      <w:marLeft w:val="0"/>
      <w:marRight w:val="0"/>
      <w:marTop w:val="0"/>
      <w:marBottom w:val="0"/>
      <w:divBdr>
        <w:top w:val="none" w:sz="0" w:space="0" w:color="auto"/>
        <w:left w:val="none" w:sz="0" w:space="0" w:color="auto"/>
        <w:bottom w:val="none" w:sz="0" w:space="0" w:color="auto"/>
        <w:right w:val="none" w:sz="0" w:space="0" w:color="auto"/>
      </w:divBdr>
      <w:divsChild>
        <w:div w:id="1042024588">
          <w:marLeft w:val="0"/>
          <w:marRight w:val="0"/>
          <w:marTop w:val="0"/>
          <w:marBottom w:val="0"/>
          <w:divBdr>
            <w:top w:val="none" w:sz="0" w:space="0" w:color="auto"/>
            <w:left w:val="none" w:sz="0" w:space="0" w:color="auto"/>
            <w:bottom w:val="none" w:sz="0" w:space="0" w:color="auto"/>
            <w:right w:val="none" w:sz="0" w:space="0" w:color="auto"/>
          </w:divBdr>
          <w:divsChild>
            <w:div w:id="892233637">
              <w:marLeft w:val="0"/>
              <w:marRight w:val="0"/>
              <w:marTop w:val="0"/>
              <w:marBottom w:val="0"/>
              <w:divBdr>
                <w:top w:val="none" w:sz="0" w:space="0" w:color="auto"/>
                <w:left w:val="none" w:sz="0" w:space="0" w:color="auto"/>
                <w:bottom w:val="none" w:sz="0" w:space="0" w:color="auto"/>
                <w:right w:val="none" w:sz="0" w:space="0" w:color="auto"/>
              </w:divBdr>
              <w:divsChild>
                <w:div w:id="16667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image" Target="cid:image001.png@01D054EB.DC6E0570"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www.hrw.org/node/118310" TargetMode="External"/><Relationship Id="rId7" Type="http://schemas.openxmlformats.org/officeDocument/2006/relationships/hyperlink" Target="http://www.icnl.org/research/monitor/azerbaijan.html" TargetMode="External"/><Relationship Id="rId2" Type="http://schemas.openxmlformats.org/officeDocument/2006/relationships/hyperlink" Target="http://www.eap-csf.eu/assets/files/News/Azerbaijan%20CSOs-Statement-%20Februaru_12_2013.pdf" TargetMode="External"/><Relationship Id="rId1" Type="http://schemas.openxmlformats.org/officeDocument/2006/relationships/hyperlink" Target="http://eiti-ngo-azerbaijan.org/?p=627" TargetMode="External"/><Relationship Id="rId6" Type="http://schemas.openxmlformats.org/officeDocument/2006/relationships/hyperlink" Target="http://www.contact.az/docs/2014/Politics/070200083172en.htm" TargetMode="External"/><Relationship Id="rId5" Type="http://schemas.openxmlformats.org/officeDocument/2006/relationships/hyperlink" Target="http://www.coe.int/t/ngo/Source/Venice_Comm_opinion_787_2014_amendments_NGO_law_Az_en.pdf" TargetMode="External"/><Relationship Id="rId4" Type="http://schemas.openxmlformats.org/officeDocument/2006/relationships/hyperlink" Target="http://hudoc.echr.coe.int/sites/eng/pages/searc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2932</Words>
  <Characters>16126</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Asmara Klein</dc:creator>
  <cp:lastModifiedBy>Asmara Klein</cp:lastModifiedBy>
  <cp:revision>2</cp:revision>
  <cp:lastPrinted>2015-02-27T19:59:00Z</cp:lastPrinted>
  <dcterms:created xsi:type="dcterms:W3CDTF">2015-03-03T16:51:00Z</dcterms:created>
  <dcterms:modified xsi:type="dcterms:W3CDTF">2015-03-03T16:51:00Z</dcterms:modified>
</cp:coreProperties>
</file>